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华文仿宋" w:hAnsi="华文仿宋" w:eastAsia="华文仿宋"/>
          <w:sz w:val="24"/>
          <w:szCs w:val="24"/>
        </w:rPr>
      </w:pPr>
      <w:r>
        <w:rPr>
          <w:rFonts w:hint="eastAsia" w:ascii="华文仿宋" w:hAnsi="华文仿宋" w:eastAsia="华文仿宋"/>
          <w:sz w:val="24"/>
          <w:szCs w:val="24"/>
        </w:rPr>
        <w:t>附件</w:t>
      </w:r>
      <w:r>
        <w:rPr>
          <w:rFonts w:ascii="华文仿宋" w:hAnsi="华文仿宋" w:eastAsia="华文仿宋"/>
          <w:sz w:val="24"/>
          <w:szCs w:val="24"/>
        </w:rPr>
        <w:t xml:space="preserve"> </w:t>
      </w:r>
      <w:r>
        <w:rPr>
          <w:rFonts w:hint="eastAsia" w:ascii="华文仿宋" w:hAnsi="华文仿宋" w:eastAsia="华文仿宋"/>
          <w:sz w:val="24"/>
          <w:szCs w:val="24"/>
        </w:rPr>
        <w:t>1</w:t>
      </w:r>
    </w:p>
    <w:p>
      <w:pPr>
        <w:ind w:right="540"/>
        <w:jc w:val="right"/>
        <w:rPr>
          <w:rFonts w:ascii="华文仿宋" w:hAnsi="华文仿宋" w:eastAsia="华文仿宋"/>
          <w:sz w:val="24"/>
          <w:szCs w:val="24"/>
        </w:rPr>
      </w:pPr>
      <w:r>
        <w:rPr>
          <w:rFonts w:hint="eastAsia" w:ascii="方正仿宋_GBK" w:hAnsi="方正仿宋_GBK" w:eastAsia="方正仿宋_GBK"/>
          <w:b/>
          <w:sz w:val="36"/>
          <w:szCs w:val="36"/>
        </w:rPr>
        <w:t>首届全国高校教师教学创新大赛山西赛区评分标准</w:t>
      </w:r>
    </w:p>
    <w:p>
      <w:pPr>
        <w:rPr>
          <w:rFonts w:hint="eastAsia" w:ascii="华文仿宋" w:hAnsi="华文仿宋" w:eastAsia="华文仿宋"/>
          <w:sz w:val="24"/>
          <w:szCs w:val="24"/>
        </w:rPr>
      </w:pPr>
    </w:p>
    <w:p>
      <w:pPr>
        <w:rPr>
          <w:rFonts w:ascii="华文仿宋" w:hAnsi="华文仿宋" w:eastAsia="华文仿宋"/>
          <w:sz w:val="24"/>
          <w:szCs w:val="24"/>
        </w:rPr>
      </w:pPr>
      <w:r>
        <w:rPr>
          <w:rFonts w:hint="eastAsia" w:ascii="华文仿宋" w:hAnsi="华文仿宋" w:eastAsia="华文仿宋"/>
          <w:sz w:val="24"/>
          <w:szCs w:val="24"/>
        </w:rPr>
        <w:t>一、课堂教学实录视频评分表（占比为</w:t>
      </w:r>
      <w:r>
        <w:rPr>
          <w:rFonts w:ascii="华文仿宋" w:hAnsi="华文仿宋" w:eastAsia="华文仿宋"/>
          <w:sz w:val="24"/>
          <w:szCs w:val="24"/>
        </w:rPr>
        <w:t xml:space="preserve"> 50%</w:t>
      </w:r>
      <w:r>
        <w:rPr>
          <w:rFonts w:hint="eastAsia" w:ascii="华文仿宋" w:hAnsi="华文仿宋" w:eastAsia="华文仿宋"/>
          <w:sz w:val="24"/>
          <w:szCs w:val="24"/>
        </w:rPr>
        <w:t>）</w:t>
      </w:r>
    </w:p>
    <w:p>
      <w:pPr>
        <w:rPr>
          <w:rFonts w:ascii="华文仿宋" w:hAnsi="华文仿宋" w:eastAsia="华文仿宋"/>
          <w:sz w:val="24"/>
          <w:szCs w:val="24"/>
        </w:rPr>
      </w:pPr>
    </w:p>
    <w:tbl>
      <w:tblPr>
        <w:tblStyle w:val="5"/>
        <w:tblW w:w="0" w:type="auto"/>
        <w:jc w:val="center"/>
        <w:tblLayout w:type="fixed"/>
        <w:tblCellMar>
          <w:top w:w="0" w:type="dxa"/>
          <w:left w:w="0" w:type="dxa"/>
          <w:bottom w:w="0" w:type="dxa"/>
          <w:right w:w="0" w:type="dxa"/>
        </w:tblCellMar>
      </w:tblPr>
      <w:tblGrid>
        <w:gridCol w:w="1255"/>
        <w:gridCol w:w="6383"/>
        <w:gridCol w:w="1218"/>
      </w:tblGrid>
      <w:tr>
        <w:tblPrEx>
          <w:tblCellMar>
            <w:top w:w="0" w:type="dxa"/>
            <w:left w:w="0" w:type="dxa"/>
            <w:bottom w:w="0" w:type="dxa"/>
            <w:right w:w="0" w:type="dxa"/>
          </w:tblCellMar>
        </w:tblPrEx>
        <w:trPr>
          <w:trHeight w:val="360" w:hRule="atLeast"/>
          <w:jc w:val="center"/>
        </w:trPr>
        <w:tc>
          <w:tcPr>
            <w:tcW w:w="1255"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评价维度</w:t>
            </w:r>
          </w:p>
        </w:tc>
        <w:tc>
          <w:tcPr>
            <w:tcW w:w="638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评价要点</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分值</w:t>
            </w:r>
          </w:p>
        </w:tc>
      </w:tr>
      <w:tr>
        <w:tblPrEx>
          <w:tblCellMar>
            <w:top w:w="0" w:type="dxa"/>
            <w:left w:w="0" w:type="dxa"/>
            <w:bottom w:w="0" w:type="dxa"/>
            <w:right w:w="0" w:type="dxa"/>
          </w:tblCellMar>
        </w:tblPrEx>
        <w:trPr>
          <w:trHeight w:val="681" w:hRule="atLeast"/>
          <w:jc w:val="center"/>
        </w:trPr>
        <w:tc>
          <w:tcPr>
            <w:tcW w:w="1255"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教学理念</w:t>
            </w:r>
          </w:p>
        </w:tc>
        <w:tc>
          <w:tcPr>
            <w:tcW w:w="638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教学理念符合学科专业与课程要求，体现立德树人思想和</w:t>
            </w:r>
            <w:r>
              <w:rPr>
                <w:rFonts w:ascii="华文仿宋" w:hAnsi="华文仿宋" w:eastAsia="华文仿宋"/>
                <w:sz w:val="24"/>
                <w:szCs w:val="24"/>
              </w:rPr>
              <w:t>“</w:t>
            </w:r>
            <w:r>
              <w:rPr>
                <w:rFonts w:hint="eastAsia" w:ascii="华文仿宋" w:hAnsi="华文仿宋" w:eastAsia="华文仿宋"/>
                <w:sz w:val="24"/>
                <w:szCs w:val="24"/>
              </w:rPr>
              <w:t>学生中心、产出导向、持续改进</w:t>
            </w:r>
            <w:r>
              <w:rPr>
                <w:rFonts w:ascii="华文仿宋" w:hAnsi="华文仿宋" w:eastAsia="华文仿宋"/>
                <w:sz w:val="24"/>
                <w:szCs w:val="24"/>
              </w:rPr>
              <w:t>”</w:t>
            </w:r>
            <w:r>
              <w:rPr>
                <w:rFonts w:hint="eastAsia" w:ascii="华文仿宋" w:hAnsi="华文仿宋" w:eastAsia="华文仿宋"/>
                <w:sz w:val="24"/>
                <w:szCs w:val="24"/>
              </w:rPr>
              <w:t>的教育教学理念；</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p>
            <w:pPr>
              <w:rPr>
                <w:rFonts w:ascii="华文仿宋" w:hAnsi="华文仿宋" w:eastAsia="华文仿宋"/>
                <w:sz w:val="24"/>
                <w:szCs w:val="24"/>
              </w:rPr>
            </w:pPr>
            <w:r>
              <w:rPr>
                <w:rFonts w:ascii="华文仿宋" w:hAnsi="华文仿宋" w:eastAsia="华文仿宋"/>
                <w:sz w:val="24"/>
                <w:szCs w:val="24"/>
              </w:rPr>
              <w:t xml:space="preserve">10 </w:t>
            </w:r>
            <w:r>
              <w:rPr>
                <w:rFonts w:hint="eastAsia" w:ascii="华文仿宋" w:hAnsi="华文仿宋" w:eastAsia="华文仿宋"/>
                <w:sz w:val="24"/>
                <w:szCs w:val="24"/>
              </w:rPr>
              <w:t>分</w:t>
            </w:r>
          </w:p>
        </w:tc>
      </w:tr>
      <w:tr>
        <w:tblPrEx>
          <w:tblCellMar>
            <w:top w:w="0" w:type="dxa"/>
            <w:left w:w="0" w:type="dxa"/>
            <w:bottom w:w="0" w:type="dxa"/>
            <w:right w:w="0" w:type="dxa"/>
          </w:tblCellMar>
        </w:tblPrEx>
        <w:trPr>
          <w:trHeight w:val="800" w:hRule="atLeast"/>
          <w:jc w:val="center"/>
        </w:trPr>
        <w:tc>
          <w:tcPr>
            <w:tcW w:w="1255" w:type="dxa"/>
            <w:vMerge w:val="restart"/>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教学内容</w:t>
            </w:r>
          </w:p>
        </w:tc>
        <w:tc>
          <w:tcPr>
            <w:tcW w:w="638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具备高阶性、创新性、挑战度的</w:t>
            </w:r>
            <w:r>
              <w:rPr>
                <w:rFonts w:ascii="华文仿宋" w:hAnsi="华文仿宋" w:eastAsia="华文仿宋"/>
                <w:sz w:val="24"/>
                <w:szCs w:val="24"/>
              </w:rPr>
              <w:t>“</w:t>
            </w:r>
            <w:r>
              <w:rPr>
                <w:rFonts w:hint="eastAsia" w:ascii="华文仿宋" w:hAnsi="华文仿宋" w:eastAsia="华文仿宋"/>
                <w:sz w:val="24"/>
                <w:szCs w:val="24"/>
              </w:rPr>
              <w:t>金课</w:t>
            </w:r>
            <w:r>
              <w:rPr>
                <w:rFonts w:ascii="华文仿宋" w:hAnsi="华文仿宋" w:eastAsia="华文仿宋"/>
                <w:sz w:val="24"/>
                <w:szCs w:val="24"/>
              </w:rPr>
              <w:t>”</w:t>
            </w:r>
            <w:r>
              <w:rPr>
                <w:rFonts w:hint="eastAsia" w:ascii="华文仿宋" w:hAnsi="华文仿宋" w:eastAsia="华文仿宋"/>
                <w:sz w:val="24"/>
                <w:szCs w:val="24"/>
              </w:rPr>
              <w:t>特征。教学内容有深度、广度，反映学科前沿，渗透专业思想，使用质量高的教学资源。</w:t>
            </w:r>
          </w:p>
        </w:tc>
        <w:tc>
          <w:tcPr>
            <w:tcW w:w="1218" w:type="dxa"/>
            <w:vMerge w:val="restart"/>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p>
            <w:pPr>
              <w:rPr>
                <w:rFonts w:ascii="华文仿宋" w:hAnsi="华文仿宋" w:eastAsia="华文仿宋"/>
                <w:sz w:val="24"/>
                <w:szCs w:val="24"/>
              </w:rPr>
            </w:pPr>
          </w:p>
          <w:p>
            <w:pPr>
              <w:rPr>
                <w:rFonts w:ascii="华文仿宋" w:hAnsi="华文仿宋" w:eastAsia="华文仿宋"/>
                <w:sz w:val="24"/>
                <w:szCs w:val="24"/>
              </w:rPr>
            </w:pPr>
          </w:p>
          <w:p>
            <w:pPr>
              <w:rPr>
                <w:rFonts w:ascii="华文仿宋" w:hAnsi="华文仿宋" w:eastAsia="华文仿宋"/>
                <w:sz w:val="24"/>
                <w:szCs w:val="24"/>
              </w:rPr>
            </w:pPr>
            <w:r>
              <w:rPr>
                <w:rFonts w:ascii="华文仿宋" w:hAnsi="华文仿宋" w:eastAsia="华文仿宋"/>
                <w:sz w:val="24"/>
                <w:szCs w:val="24"/>
              </w:rPr>
              <w:t xml:space="preserve">40 </w:t>
            </w:r>
            <w:r>
              <w:rPr>
                <w:rFonts w:hint="eastAsia" w:ascii="华文仿宋" w:hAnsi="华文仿宋" w:eastAsia="华文仿宋"/>
                <w:sz w:val="24"/>
                <w:szCs w:val="24"/>
              </w:rPr>
              <w:t>分</w:t>
            </w:r>
          </w:p>
        </w:tc>
      </w:tr>
      <w:tr>
        <w:tblPrEx>
          <w:tblCellMar>
            <w:top w:w="0" w:type="dxa"/>
            <w:left w:w="0" w:type="dxa"/>
            <w:bottom w:w="0" w:type="dxa"/>
            <w:right w:w="0" w:type="dxa"/>
          </w:tblCellMar>
        </w:tblPrEx>
        <w:trPr>
          <w:trHeight w:val="400" w:hRule="atLeast"/>
          <w:jc w:val="center"/>
        </w:trPr>
        <w:tc>
          <w:tcPr>
            <w:tcW w:w="1255"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c>
          <w:tcPr>
            <w:tcW w:w="638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重点难点突出、逻辑合理、结构清晰。</w:t>
            </w:r>
          </w:p>
        </w:tc>
        <w:tc>
          <w:tcPr>
            <w:tcW w:w="1218"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r>
      <w:tr>
        <w:tblPrEx>
          <w:tblCellMar>
            <w:top w:w="0" w:type="dxa"/>
            <w:left w:w="0" w:type="dxa"/>
            <w:bottom w:w="0" w:type="dxa"/>
            <w:right w:w="0" w:type="dxa"/>
          </w:tblCellMar>
        </w:tblPrEx>
        <w:trPr>
          <w:trHeight w:val="800" w:hRule="atLeast"/>
          <w:jc w:val="center"/>
        </w:trPr>
        <w:tc>
          <w:tcPr>
            <w:tcW w:w="1255"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c>
          <w:tcPr>
            <w:tcW w:w="638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课程思政目标得到实现，促进学生家国情怀、科学与人文精神的培养。</w:t>
            </w:r>
          </w:p>
        </w:tc>
        <w:tc>
          <w:tcPr>
            <w:tcW w:w="1218"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r>
      <w:tr>
        <w:tblPrEx>
          <w:tblCellMar>
            <w:top w:w="0" w:type="dxa"/>
            <w:left w:w="0" w:type="dxa"/>
            <w:bottom w:w="0" w:type="dxa"/>
            <w:right w:w="0" w:type="dxa"/>
          </w:tblCellMar>
        </w:tblPrEx>
        <w:trPr>
          <w:trHeight w:val="400" w:hRule="atLeast"/>
          <w:jc w:val="center"/>
        </w:trPr>
        <w:tc>
          <w:tcPr>
            <w:tcW w:w="1255" w:type="dxa"/>
            <w:vMerge w:val="restart"/>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教学模式</w:t>
            </w:r>
          </w:p>
        </w:tc>
        <w:tc>
          <w:tcPr>
            <w:tcW w:w="638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注重以学生为中心创新教学，体现教师主导、学生主体。</w:t>
            </w:r>
          </w:p>
        </w:tc>
        <w:tc>
          <w:tcPr>
            <w:tcW w:w="1218" w:type="dxa"/>
            <w:vMerge w:val="restart"/>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p>
            <w:pPr>
              <w:rPr>
                <w:rFonts w:ascii="华文仿宋" w:hAnsi="华文仿宋" w:eastAsia="华文仿宋"/>
                <w:sz w:val="24"/>
                <w:szCs w:val="24"/>
              </w:rPr>
            </w:pPr>
          </w:p>
          <w:p>
            <w:pPr>
              <w:rPr>
                <w:rFonts w:ascii="华文仿宋" w:hAnsi="华文仿宋" w:eastAsia="华文仿宋"/>
                <w:sz w:val="24"/>
                <w:szCs w:val="24"/>
              </w:rPr>
            </w:pPr>
          </w:p>
          <w:p>
            <w:pPr>
              <w:rPr>
                <w:rFonts w:ascii="华文仿宋" w:hAnsi="华文仿宋" w:eastAsia="华文仿宋"/>
                <w:sz w:val="24"/>
                <w:szCs w:val="24"/>
              </w:rPr>
            </w:pPr>
          </w:p>
          <w:p>
            <w:pPr>
              <w:rPr>
                <w:rFonts w:ascii="华文仿宋" w:hAnsi="华文仿宋" w:eastAsia="华文仿宋"/>
                <w:sz w:val="24"/>
                <w:szCs w:val="24"/>
              </w:rPr>
            </w:pPr>
          </w:p>
          <w:p>
            <w:pPr>
              <w:rPr>
                <w:rFonts w:ascii="华文仿宋" w:hAnsi="华文仿宋" w:eastAsia="华文仿宋"/>
                <w:sz w:val="24"/>
                <w:szCs w:val="24"/>
              </w:rPr>
            </w:pPr>
            <w:r>
              <w:rPr>
                <w:rFonts w:ascii="华文仿宋" w:hAnsi="华文仿宋" w:eastAsia="华文仿宋"/>
                <w:sz w:val="24"/>
                <w:szCs w:val="24"/>
              </w:rPr>
              <w:t xml:space="preserve">20 </w:t>
            </w:r>
            <w:r>
              <w:rPr>
                <w:rFonts w:hint="eastAsia" w:ascii="华文仿宋" w:hAnsi="华文仿宋" w:eastAsia="华文仿宋"/>
                <w:sz w:val="24"/>
                <w:szCs w:val="24"/>
              </w:rPr>
              <w:t>分</w:t>
            </w:r>
          </w:p>
        </w:tc>
      </w:tr>
      <w:tr>
        <w:tblPrEx>
          <w:tblCellMar>
            <w:top w:w="0" w:type="dxa"/>
            <w:left w:w="0" w:type="dxa"/>
            <w:bottom w:w="0" w:type="dxa"/>
            <w:right w:w="0" w:type="dxa"/>
          </w:tblCellMar>
        </w:tblPrEx>
        <w:trPr>
          <w:trHeight w:val="800" w:hRule="atLeast"/>
          <w:jc w:val="center"/>
        </w:trPr>
        <w:tc>
          <w:tcPr>
            <w:tcW w:w="1255"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c>
          <w:tcPr>
            <w:tcW w:w="638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教学目标科学、明确，重视学生发展需要，所有课堂活动与教学目标具有一致性。</w:t>
            </w:r>
          </w:p>
        </w:tc>
        <w:tc>
          <w:tcPr>
            <w:tcW w:w="1218"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r>
      <w:tr>
        <w:tblPrEx>
          <w:tblCellMar>
            <w:top w:w="0" w:type="dxa"/>
            <w:left w:w="0" w:type="dxa"/>
            <w:bottom w:w="0" w:type="dxa"/>
            <w:right w:w="0" w:type="dxa"/>
          </w:tblCellMar>
        </w:tblPrEx>
        <w:trPr>
          <w:trHeight w:val="800" w:hRule="atLeast"/>
          <w:jc w:val="center"/>
        </w:trPr>
        <w:tc>
          <w:tcPr>
            <w:tcW w:w="1255"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c>
          <w:tcPr>
            <w:tcW w:w="638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教学组织有序，教学过程安排合理。创新教学方法与策略，调动</w:t>
            </w:r>
            <w:r>
              <w:rPr>
                <w:rFonts w:ascii="华文仿宋" w:hAnsi="华文仿宋" w:eastAsia="华文仿宋"/>
                <w:sz w:val="24"/>
                <w:szCs w:val="24"/>
              </w:rPr>
              <w:t xml:space="preserve"> </w:t>
            </w:r>
            <w:r>
              <w:rPr>
                <w:rFonts w:hint="eastAsia" w:ascii="华文仿宋" w:hAnsi="华文仿宋" w:eastAsia="华文仿宋"/>
                <w:sz w:val="24"/>
                <w:szCs w:val="24"/>
              </w:rPr>
              <w:t>学生积极性，师生互动充分。</w:t>
            </w:r>
          </w:p>
        </w:tc>
        <w:tc>
          <w:tcPr>
            <w:tcW w:w="1218"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r>
      <w:tr>
        <w:tblPrEx>
          <w:tblCellMar>
            <w:top w:w="0" w:type="dxa"/>
            <w:left w:w="0" w:type="dxa"/>
            <w:bottom w:w="0" w:type="dxa"/>
            <w:right w:w="0" w:type="dxa"/>
          </w:tblCellMar>
        </w:tblPrEx>
        <w:trPr>
          <w:trHeight w:val="400" w:hRule="atLeast"/>
          <w:jc w:val="center"/>
        </w:trPr>
        <w:tc>
          <w:tcPr>
            <w:tcW w:w="1255"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c>
          <w:tcPr>
            <w:tcW w:w="638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合理有效运用现代信息技术，支撑教学创新。</w:t>
            </w:r>
          </w:p>
        </w:tc>
        <w:tc>
          <w:tcPr>
            <w:tcW w:w="1218"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r>
      <w:tr>
        <w:tblPrEx>
          <w:tblCellMar>
            <w:top w:w="0" w:type="dxa"/>
            <w:left w:w="0" w:type="dxa"/>
            <w:bottom w:w="0" w:type="dxa"/>
            <w:right w:w="0" w:type="dxa"/>
          </w:tblCellMar>
        </w:tblPrEx>
        <w:trPr>
          <w:trHeight w:val="400" w:hRule="atLeast"/>
          <w:jc w:val="center"/>
        </w:trPr>
        <w:tc>
          <w:tcPr>
            <w:tcW w:w="1255"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c>
          <w:tcPr>
            <w:tcW w:w="638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考核评价的内容和方式创新。</w:t>
            </w:r>
          </w:p>
        </w:tc>
        <w:tc>
          <w:tcPr>
            <w:tcW w:w="1218"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r>
      <w:tr>
        <w:tblPrEx>
          <w:tblCellMar>
            <w:top w:w="0" w:type="dxa"/>
            <w:left w:w="0" w:type="dxa"/>
            <w:bottom w:w="0" w:type="dxa"/>
            <w:right w:w="0" w:type="dxa"/>
          </w:tblCellMar>
        </w:tblPrEx>
        <w:trPr>
          <w:trHeight w:val="709" w:hRule="atLeast"/>
          <w:jc w:val="center"/>
        </w:trPr>
        <w:tc>
          <w:tcPr>
            <w:tcW w:w="1255" w:type="dxa"/>
            <w:vMerge w:val="restart"/>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教学效果</w:t>
            </w:r>
          </w:p>
        </w:tc>
        <w:tc>
          <w:tcPr>
            <w:tcW w:w="638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课堂讲授富有吸引力，课堂气氛融洽，学生思维活跃，深度参与课堂。</w:t>
            </w:r>
          </w:p>
        </w:tc>
        <w:tc>
          <w:tcPr>
            <w:tcW w:w="1218" w:type="dxa"/>
            <w:vMerge w:val="restart"/>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p>
            <w:pPr>
              <w:rPr>
                <w:rFonts w:ascii="华文仿宋" w:hAnsi="华文仿宋" w:eastAsia="华文仿宋"/>
                <w:sz w:val="24"/>
                <w:szCs w:val="24"/>
              </w:rPr>
            </w:pPr>
          </w:p>
          <w:p>
            <w:pPr>
              <w:rPr>
                <w:rFonts w:ascii="华文仿宋" w:hAnsi="华文仿宋" w:eastAsia="华文仿宋"/>
                <w:sz w:val="24"/>
                <w:szCs w:val="24"/>
              </w:rPr>
            </w:pPr>
          </w:p>
          <w:p>
            <w:pPr>
              <w:rPr>
                <w:rFonts w:ascii="华文仿宋" w:hAnsi="华文仿宋" w:eastAsia="华文仿宋"/>
                <w:sz w:val="24"/>
                <w:szCs w:val="24"/>
              </w:rPr>
            </w:pPr>
          </w:p>
          <w:p>
            <w:pPr>
              <w:rPr>
                <w:rFonts w:ascii="华文仿宋" w:hAnsi="华文仿宋" w:eastAsia="华文仿宋"/>
                <w:sz w:val="24"/>
                <w:szCs w:val="24"/>
              </w:rPr>
            </w:pPr>
            <w:r>
              <w:rPr>
                <w:rFonts w:ascii="华文仿宋" w:hAnsi="华文仿宋" w:eastAsia="华文仿宋"/>
                <w:sz w:val="24"/>
                <w:szCs w:val="24"/>
              </w:rPr>
              <w:t xml:space="preserve">20 </w:t>
            </w:r>
            <w:r>
              <w:rPr>
                <w:rFonts w:hint="eastAsia" w:ascii="华文仿宋" w:hAnsi="华文仿宋" w:eastAsia="华文仿宋"/>
                <w:sz w:val="24"/>
                <w:szCs w:val="24"/>
              </w:rPr>
              <w:t>分</w:t>
            </w:r>
          </w:p>
        </w:tc>
      </w:tr>
      <w:tr>
        <w:tblPrEx>
          <w:tblCellMar>
            <w:top w:w="0" w:type="dxa"/>
            <w:left w:w="0" w:type="dxa"/>
            <w:bottom w:w="0" w:type="dxa"/>
            <w:right w:w="0" w:type="dxa"/>
          </w:tblCellMar>
        </w:tblPrEx>
        <w:trPr>
          <w:trHeight w:val="705" w:hRule="atLeast"/>
          <w:jc w:val="center"/>
        </w:trPr>
        <w:tc>
          <w:tcPr>
            <w:tcW w:w="1255"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c>
          <w:tcPr>
            <w:tcW w:w="638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学生知识、能力与素质得到了全面发展，有效激发学生的学习兴趣，培养了学生的自主学习能力。</w:t>
            </w:r>
          </w:p>
        </w:tc>
        <w:tc>
          <w:tcPr>
            <w:tcW w:w="1218"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r>
      <w:tr>
        <w:tblPrEx>
          <w:tblCellMar>
            <w:top w:w="0" w:type="dxa"/>
            <w:left w:w="0" w:type="dxa"/>
            <w:bottom w:w="0" w:type="dxa"/>
            <w:right w:w="0" w:type="dxa"/>
          </w:tblCellMar>
        </w:tblPrEx>
        <w:trPr>
          <w:trHeight w:val="800" w:hRule="atLeast"/>
          <w:jc w:val="center"/>
        </w:trPr>
        <w:tc>
          <w:tcPr>
            <w:tcW w:w="1255"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c>
          <w:tcPr>
            <w:tcW w:w="638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教学风格突出、教学模式新颖、效果好，具有较大的借鉴和推广价值。</w:t>
            </w:r>
          </w:p>
        </w:tc>
        <w:tc>
          <w:tcPr>
            <w:tcW w:w="1218"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r>
      <w:tr>
        <w:tblPrEx>
          <w:tblCellMar>
            <w:top w:w="0" w:type="dxa"/>
            <w:left w:w="0" w:type="dxa"/>
            <w:bottom w:w="0" w:type="dxa"/>
            <w:right w:w="0" w:type="dxa"/>
          </w:tblCellMar>
        </w:tblPrEx>
        <w:trPr>
          <w:trHeight w:val="800" w:hRule="atLeast"/>
          <w:jc w:val="center"/>
        </w:trPr>
        <w:tc>
          <w:tcPr>
            <w:tcW w:w="1255"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视频质量</w:t>
            </w:r>
          </w:p>
        </w:tc>
        <w:tc>
          <w:tcPr>
            <w:tcW w:w="638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教学视频清晰、流畅，能客观、真实反映教师和学生的教学过程常态。</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p>
            <w:pPr>
              <w:rPr>
                <w:rFonts w:ascii="华文仿宋" w:hAnsi="华文仿宋" w:eastAsia="华文仿宋"/>
                <w:sz w:val="24"/>
                <w:szCs w:val="24"/>
              </w:rPr>
            </w:pPr>
            <w:r>
              <w:rPr>
                <w:rFonts w:ascii="华文仿宋" w:hAnsi="华文仿宋" w:eastAsia="华文仿宋"/>
                <w:sz w:val="24"/>
                <w:szCs w:val="24"/>
              </w:rPr>
              <w:t xml:space="preserve">10 </w:t>
            </w:r>
            <w:r>
              <w:rPr>
                <w:rFonts w:hint="eastAsia" w:ascii="华文仿宋" w:hAnsi="华文仿宋" w:eastAsia="华文仿宋"/>
                <w:sz w:val="24"/>
                <w:szCs w:val="24"/>
              </w:rPr>
              <w:t>分</w:t>
            </w:r>
          </w:p>
        </w:tc>
      </w:tr>
      <w:tr>
        <w:tblPrEx>
          <w:tblCellMar>
            <w:top w:w="0" w:type="dxa"/>
            <w:left w:w="0" w:type="dxa"/>
            <w:bottom w:w="0" w:type="dxa"/>
            <w:right w:w="0" w:type="dxa"/>
          </w:tblCellMar>
        </w:tblPrEx>
        <w:trPr>
          <w:trHeight w:val="460" w:hRule="atLeast"/>
          <w:jc w:val="center"/>
        </w:trPr>
        <w:tc>
          <w:tcPr>
            <w:tcW w:w="1255"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总分</w:t>
            </w:r>
          </w:p>
        </w:tc>
        <w:tc>
          <w:tcPr>
            <w:tcW w:w="638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c>
          <w:tcPr>
            <w:tcW w:w="1218"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ascii="华文仿宋" w:hAnsi="华文仿宋" w:eastAsia="华文仿宋"/>
                <w:sz w:val="24"/>
                <w:szCs w:val="24"/>
              </w:rPr>
              <w:t xml:space="preserve">100 </w:t>
            </w:r>
            <w:r>
              <w:rPr>
                <w:rFonts w:hint="eastAsia" w:ascii="华文仿宋" w:hAnsi="华文仿宋" w:eastAsia="华文仿宋"/>
                <w:sz w:val="24"/>
                <w:szCs w:val="24"/>
              </w:rPr>
              <w:t>分</w:t>
            </w:r>
          </w:p>
        </w:tc>
      </w:tr>
    </w:tbl>
    <w:p>
      <w:pPr>
        <w:rPr>
          <w:rFonts w:ascii="华文仿宋" w:hAnsi="华文仿宋" w:eastAsia="华文仿宋"/>
          <w:sz w:val="24"/>
          <w:szCs w:val="24"/>
        </w:rPr>
      </w:pPr>
    </w:p>
    <w:p>
      <w:pPr>
        <w:rPr>
          <w:rFonts w:ascii="华文仿宋" w:hAnsi="华文仿宋" w:eastAsia="华文仿宋"/>
          <w:sz w:val="24"/>
          <w:szCs w:val="24"/>
        </w:rPr>
      </w:pPr>
    </w:p>
    <w:p>
      <w:pPr>
        <w:rPr>
          <w:rFonts w:ascii="华文仿宋" w:hAnsi="华文仿宋" w:eastAsia="华文仿宋"/>
          <w:sz w:val="24"/>
          <w:szCs w:val="24"/>
        </w:rPr>
      </w:pPr>
    </w:p>
    <w:p>
      <w:pPr>
        <w:rPr>
          <w:rFonts w:hint="eastAsia" w:ascii="华文仿宋" w:hAnsi="华文仿宋" w:eastAsia="华文仿宋"/>
          <w:sz w:val="24"/>
          <w:szCs w:val="24"/>
        </w:rPr>
      </w:pPr>
    </w:p>
    <w:p>
      <w:pPr>
        <w:rPr>
          <w:rFonts w:ascii="华文仿宋" w:hAnsi="华文仿宋" w:eastAsia="华文仿宋"/>
          <w:sz w:val="24"/>
          <w:szCs w:val="24"/>
        </w:rPr>
      </w:pPr>
      <w:r>
        <w:rPr>
          <w:rFonts w:hint="eastAsia" w:ascii="华文仿宋" w:hAnsi="华文仿宋" w:eastAsia="华文仿宋"/>
          <w:sz w:val="24"/>
          <w:szCs w:val="24"/>
        </w:rPr>
        <w:t>二、课程教学创新成果报告评分表（占比为</w:t>
      </w:r>
      <w:r>
        <w:rPr>
          <w:rFonts w:ascii="华文仿宋" w:hAnsi="华文仿宋" w:eastAsia="华文仿宋"/>
          <w:sz w:val="24"/>
          <w:szCs w:val="24"/>
        </w:rPr>
        <w:t xml:space="preserve"> 15%</w:t>
      </w:r>
      <w:r>
        <w:rPr>
          <w:rFonts w:hint="eastAsia" w:ascii="华文仿宋" w:hAnsi="华文仿宋" w:eastAsia="华文仿宋"/>
          <w:sz w:val="24"/>
          <w:szCs w:val="24"/>
        </w:rPr>
        <w:t>）</w:t>
      </w:r>
    </w:p>
    <w:tbl>
      <w:tblPr>
        <w:tblStyle w:val="5"/>
        <w:tblW w:w="0" w:type="auto"/>
        <w:jc w:val="center"/>
        <w:tblLayout w:type="fixed"/>
        <w:tblCellMar>
          <w:top w:w="0" w:type="dxa"/>
          <w:left w:w="0" w:type="dxa"/>
          <w:bottom w:w="0" w:type="dxa"/>
          <w:right w:w="0" w:type="dxa"/>
        </w:tblCellMar>
      </w:tblPr>
      <w:tblGrid>
        <w:gridCol w:w="1483"/>
        <w:gridCol w:w="6460"/>
        <w:gridCol w:w="913"/>
      </w:tblGrid>
      <w:tr>
        <w:tblPrEx>
          <w:tblCellMar>
            <w:top w:w="0" w:type="dxa"/>
            <w:left w:w="0" w:type="dxa"/>
            <w:bottom w:w="0" w:type="dxa"/>
            <w:right w:w="0" w:type="dxa"/>
          </w:tblCellMar>
        </w:tblPrEx>
        <w:trPr>
          <w:trHeight w:val="360" w:hRule="atLeast"/>
          <w:jc w:val="center"/>
        </w:trPr>
        <w:tc>
          <w:tcPr>
            <w:tcW w:w="1483" w:type="dxa"/>
            <w:tcBorders>
              <w:top w:val="single" w:color="000000" w:sz="2" w:space="0"/>
              <w:left w:val="single" w:color="000000" w:sz="2" w:space="0"/>
              <w:bottom w:val="single" w:color="000000" w:sz="2" w:space="0"/>
              <w:right w:val="single" w:color="000000" w:sz="2" w:space="0"/>
            </w:tcBorders>
            <w:shd w:val="clear" w:color="000000" w:fill="FFFFFF"/>
          </w:tcPr>
          <w:p>
            <w:pPr>
              <w:jc w:val="center"/>
              <w:rPr>
                <w:rFonts w:ascii="华文仿宋" w:hAnsi="华文仿宋" w:eastAsia="华文仿宋"/>
                <w:sz w:val="24"/>
                <w:szCs w:val="24"/>
              </w:rPr>
            </w:pPr>
            <w:r>
              <w:rPr>
                <w:rFonts w:hint="eastAsia" w:ascii="华文仿宋" w:hAnsi="华文仿宋" w:eastAsia="华文仿宋"/>
                <w:sz w:val="24"/>
                <w:szCs w:val="24"/>
              </w:rPr>
              <w:t>评价维度</w:t>
            </w:r>
          </w:p>
        </w:tc>
        <w:tc>
          <w:tcPr>
            <w:tcW w:w="6460" w:type="dxa"/>
            <w:tcBorders>
              <w:top w:val="single" w:color="000000" w:sz="2" w:space="0"/>
              <w:left w:val="single" w:color="000000" w:sz="2" w:space="0"/>
              <w:bottom w:val="single" w:color="000000" w:sz="2" w:space="0"/>
              <w:right w:val="single" w:color="000000" w:sz="2" w:space="0"/>
            </w:tcBorders>
            <w:shd w:val="clear" w:color="000000" w:fill="FFFFFF"/>
          </w:tcPr>
          <w:p>
            <w:pPr>
              <w:jc w:val="center"/>
              <w:rPr>
                <w:rFonts w:ascii="华文仿宋" w:hAnsi="华文仿宋" w:eastAsia="华文仿宋"/>
                <w:sz w:val="24"/>
                <w:szCs w:val="24"/>
              </w:rPr>
            </w:pPr>
            <w:r>
              <w:rPr>
                <w:rFonts w:hint="eastAsia" w:ascii="华文仿宋" w:hAnsi="华文仿宋" w:eastAsia="华文仿宋"/>
                <w:sz w:val="24"/>
                <w:szCs w:val="24"/>
              </w:rPr>
              <w:t>评价要点</w:t>
            </w:r>
          </w:p>
        </w:tc>
        <w:tc>
          <w:tcPr>
            <w:tcW w:w="913" w:type="dxa"/>
            <w:tcBorders>
              <w:top w:val="single" w:color="000000" w:sz="2" w:space="0"/>
              <w:left w:val="single" w:color="000000" w:sz="2" w:space="0"/>
              <w:bottom w:val="single" w:color="000000" w:sz="2" w:space="0"/>
              <w:right w:val="single" w:color="000000" w:sz="2" w:space="0"/>
            </w:tcBorders>
            <w:shd w:val="clear" w:color="000000" w:fill="FFFFFF"/>
          </w:tcPr>
          <w:p>
            <w:pPr>
              <w:jc w:val="center"/>
              <w:rPr>
                <w:rFonts w:ascii="华文仿宋" w:hAnsi="华文仿宋" w:eastAsia="华文仿宋"/>
                <w:sz w:val="24"/>
                <w:szCs w:val="24"/>
              </w:rPr>
            </w:pPr>
            <w:r>
              <w:rPr>
                <w:rFonts w:hint="eastAsia" w:ascii="华文仿宋" w:hAnsi="华文仿宋" w:eastAsia="华文仿宋"/>
                <w:sz w:val="24"/>
                <w:szCs w:val="24"/>
              </w:rPr>
              <w:t>分值</w:t>
            </w:r>
          </w:p>
        </w:tc>
      </w:tr>
      <w:tr>
        <w:tblPrEx>
          <w:tblCellMar>
            <w:top w:w="0" w:type="dxa"/>
            <w:left w:w="0" w:type="dxa"/>
            <w:bottom w:w="0" w:type="dxa"/>
            <w:right w:w="0" w:type="dxa"/>
          </w:tblCellMar>
        </w:tblPrEx>
        <w:trPr>
          <w:trHeight w:val="774" w:hRule="atLeast"/>
          <w:jc w:val="center"/>
        </w:trPr>
        <w:tc>
          <w:tcPr>
            <w:tcW w:w="148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有明确的问题导向</w:t>
            </w:r>
          </w:p>
        </w:tc>
        <w:tc>
          <w:tcPr>
            <w:tcW w:w="6460"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强调课程教学创新的出发点是为了解决课堂教学中存在的影响学生学习的切实问题，能够体现以学生发展为中心的理念。</w:t>
            </w:r>
          </w:p>
        </w:tc>
        <w:tc>
          <w:tcPr>
            <w:tcW w:w="91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p>
            <w:pPr>
              <w:rPr>
                <w:rFonts w:ascii="华文仿宋" w:hAnsi="华文仿宋" w:eastAsia="华文仿宋"/>
                <w:sz w:val="24"/>
                <w:szCs w:val="24"/>
              </w:rPr>
            </w:pPr>
            <w:r>
              <w:rPr>
                <w:rFonts w:ascii="华文仿宋" w:hAnsi="华文仿宋" w:eastAsia="华文仿宋"/>
                <w:sz w:val="24"/>
                <w:szCs w:val="24"/>
              </w:rPr>
              <w:t xml:space="preserve">25 </w:t>
            </w:r>
            <w:r>
              <w:rPr>
                <w:rFonts w:hint="eastAsia" w:ascii="华文仿宋" w:hAnsi="华文仿宋" w:eastAsia="华文仿宋"/>
                <w:sz w:val="24"/>
                <w:szCs w:val="24"/>
              </w:rPr>
              <w:t>分</w:t>
            </w:r>
          </w:p>
        </w:tc>
      </w:tr>
      <w:tr>
        <w:tblPrEx>
          <w:tblCellMar>
            <w:top w:w="0" w:type="dxa"/>
            <w:left w:w="0" w:type="dxa"/>
            <w:bottom w:w="0" w:type="dxa"/>
            <w:right w:w="0" w:type="dxa"/>
          </w:tblCellMar>
        </w:tblPrEx>
        <w:trPr>
          <w:trHeight w:val="699" w:hRule="atLeast"/>
          <w:jc w:val="center"/>
        </w:trPr>
        <w:tc>
          <w:tcPr>
            <w:tcW w:w="148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有明显的创新特色</w:t>
            </w:r>
          </w:p>
        </w:tc>
        <w:tc>
          <w:tcPr>
            <w:tcW w:w="6460"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对教学目标、内容、活动、评价、方法等教学各要素分析全面、</w:t>
            </w:r>
            <w:r>
              <w:rPr>
                <w:rFonts w:ascii="华文仿宋" w:hAnsi="华文仿宋" w:eastAsia="华文仿宋"/>
                <w:sz w:val="24"/>
                <w:szCs w:val="24"/>
              </w:rPr>
              <w:t xml:space="preserve"> </w:t>
            </w:r>
            <w:r>
              <w:rPr>
                <w:rFonts w:hint="eastAsia" w:ascii="华文仿宋" w:hAnsi="华文仿宋" w:eastAsia="华文仿宋"/>
                <w:sz w:val="24"/>
                <w:szCs w:val="24"/>
              </w:rPr>
              <w:t>透彻，能够凸显课程教学创新点。</w:t>
            </w:r>
          </w:p>
        </w:tc>
        <w:tc>
          <w:tcPr>
            <w:tcW w:w="91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p>
            <w:pPr>
              <w:rPr>
                <w:rFonts w:ascii="华文仿宋" w:hAnsi="华文仿宋" w:eastAsia="华文仿宋"/>
                <w:sz w:val="24"/>
                <w:szCs w:val="24"/>
              </w:rPr>
            </w:pPr>
            <w:r>
              <w:rPr>
                <w:rFonts w:ascii="华文仿宋" w:hAnsi="华文仿宋" w:eastAsia="华文仿宋"/>
                <w:sz w:val="24"/>
                <w:szCs w:val="24"/>
              </w:rPr>
              <w:t xml:space="preserve">30 </w:t>
            </w:r>
            <w:r>
              <w:rPr>
                <w:rFonts w:hint="eastAsia" w:ascii="华文仿宋" w:hAnsi="华文仿宋" w:eastAsia="华文仿宋"/>
                <w:sz w:val="24"/>
                <w:szCs w:val="24"/>
              </w:rPr>
              <w:t>分</w:t>
            </w:r>
          </w:p>
        </w:tc>
      </w:tr>
      <w:tr>
        <w:tblPrEx>
          <w:tblCellMar>
            <w:top w:w="0" w:type="dxa"/>
            <w:left w:w="0" w:type="dxa"/>
            <w:bottom w:w="0" w:type="dxa"/>
            <w:right w:w="0" w:type="dxa"/>
          </w:tblCellMar>
        </w:tblPrEx>
        <w:trPr>
          <w:trHeight w:val="830" w:hRule="atLeast"/>
          <w:jc w:val="center"/>
        </w:trPr>
        <w:tc>
          <w:tcPr>
            <w:tcW w:w="148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注重与信息技术的融合</w:t>
            </w:r>
          </w:p>
        </w:tc>
        <w:tc>
          <w:tcPr>
            <w:tcW w:w="6460"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能够把握新时代下学生学习特点，充分利用现代信息技术手段开</w:t>
            </w:r>
            <w:r>
              <w:rPr>
                <w:rFonts w:ascii="华文仿宋" w:hAnsi="华文仿宋" w:eastAsia="华文仿宋"/>
                <w:sz w:val="24"/>
                <w:szCs w:val="24"/>
              </w:rPr>
              <w:t xml:space="preserve"> </w:t>
            </w:r>
            <w:r>
              <w:rPr>
                <w:rFonts w:hint="eastAsia" w:ascii="华文仿宋" w:hAnsi="华文仿宋" w:eastAsia="华文仿宋"/>
                <w:sz w:val="24"/>
                <w:szCs w:val="24"/>
              </w:rPr>
              <w:t>展课程教学活动和学习评价。</w:t>
            </w:r>
          </w:p>
        </w:tc>
        <w:tc>
          <w:tcPr>
            <w:tcW w:w="91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p>
            <w:pPr>
              <w:rPr>
                <w:rFonts w:ascii="华文仿宋" w:hAnsi="华文仿宋" w:eastAsia="华文仿宋"/>
                <w:sz w:val="24"/>
                <w:szCs w:val="24"/>
              </w:rPr>
            </w:pPr>
            <w:r>
              <w:rPr>
                <w:rFonts w:ascii="华文仿宋" w:hAnsi="华文仿宋" w:eastAsia="华文仿宋"/>
                <w:sz w:val="24"/>
                <w:szCs w:val="24"/>
              </w:rPr>
              <w:t xml:space="preserve">25 </w:t>
            </w:r>
            <w:r>
              <w:rPr>
                <w:rFonts w:hint="eastAsia" w:ascii="华文仿宋" w:hAnsi="华文仿宋" w:eastAsia="华文仿宋"/>
                <w:sz w:val="24"/>
                <w:szCs w:val="24"/>
              </w:rPr>
              <w:t>分</w:t>
            </w:r>
          </w:p>
        </w:tc>
      </w:tr>
      <w:tr>
        <w:tblPrEx>
          <w:tblCellMar>
            <w:top w:w="0" w:type="dxa"/>
            <w:left w:w="0" w:type="dxa"/>
            <w:bottom w:w="0" w:type="dxa"/>
            <w:right w:w="0" w:type="dxa"/>
          </w:tblCellMar>
        </w:tblPrEx>
        <w:trPr>
          <w:trHeight w:val="820" w:hRule="atLeast"/>
          <w:jc w:val="center"/>
        </w:trPr>
        <w:tc>
          <w:tcPr>
            <w:tcW w:w="148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注重创新成果的辐射</w:t>
            </w:r>
          </w:p>
        </w:tc>
        <w:tc>
          <w:tcPr>
            <w:tcW w:w="6460"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能够对创新实践成效开展基于证据的有效分析与总结，形成具有较强辐射推广价值的教学新方法、新模式。</w:t>
            </w:r>
          </w:p>
        </w:tc>
        <w:tc>
          <w:tcPr>
            <w:tcW w:w="91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p>
            <w:pPr>
              <w:rPr>
                <w:rFonts w:ascii="华文仿宋" w:hAnsi="华文仿宋" w:eastAsia="华文仿宋"/>
                <w:sz w:val="24"/>
                <w:szCs w:val="24"/>
              </w:rPr>
            </w:pPr>
            <w:r>
              <w:rPr>
                <w:rFonts w:ascii="华文仿宋" w:hAnsi="华文仿宋" w:eastAsia="华文仿宋"/>
                <w:sz w:val="24"/>
                <w:szCs w:val="24"/>
              </w:rPr>
              <w:t xml:space="preserve">20 </w:t>
            </w:r>
            <w:r>
              <w:rPr>
                <w:rFonts w:hint="eastAsia" w:ascii="华文仿宋" w:hAnsi="华文仿宋" w:eastAsia="华文仿宋"/>
                <w:sz w:val="24"/>
                <w:szCs w:val="24"/>
              </w:rPr>
              <w:t>分</w:t>
            </w:r>
          </w:p>
        </w:tc>
      </w:tr>
      <w:tr>
        <w:tblPrEx>
          <w:tblCellMar>
            <w:top w:w="0" w:type="dxa"/>
            <w:left w:w="0" w:type="dxa"/>
            <w:bottom w:w="0" w:type="dxa"/>
            <w:right w:w="0" w:type="dxa"/>
          </w:tblCellMar>
        </w:tblPrEx>
        <w:trPr>
          <w:trHeight w:val="510" w:hRule="atLeast"/>
          <w:jc w:val="center"/>
        </w:trPr>
        <w:tc>
          <w:tcPr>
            <w:tcW w:w="148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总分</w:t>
            </w:r>
          </w:p>
        </w:tc>
        <w:tc>
          <w:tcPr>
            <w:tcW w:w="6460"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c>
          <w:tcPr>
            <w:tcW w:w="91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ascii="华文仿宋" w:hAnsi="华文仿宋" w:eastAsia="华文仿宋"/>
                <w:sz w:val="24"/>
                <w:szCs w:val="24"/>
              </w:rPr>
              <w:t xml:space="preserve">100 </w:t>
            </w:r>
            <w:r>
              <w:rPr>
                <w:rFonts w:hint="eastAsia" w:ascii="华文仿宋" w:hAnsi="华文仿宋" w:eastAsia="华文仿宋"/>
                <w:sz w:val="24"/>
                <w:szCs w:val="24"/>
              </w:rPr>
              <w:t>分</w:t>
            </w:r>
          </w:p>
        </w:tc>
      </w:tr>
    </w:tbl>
    <w:p>
      <w:pPr>
        <w:rPr>
          <w:rFonts w:ascii="华文仿宋" w:hAnsi="华文仿宋" w:eastAsia="华文仿宋"/>
          <w:sz w:val="24"/>
          <w:szCs w:val="24"/>
        </w:rPr>
      </w:pPr>
      <w:r>
        <w:rPr>
          <w:rFonts w:hint="eastAsia" w:ascii="华文仿宋" w:hAnsi="华文仿宋" w:eastAsia="华文仿宋"/>
          <w:sz w:val="24"/>
          <w:szCs w:val="24"/>
        </w:rPr>
        <w:t>备注：文风严谨，表述流畅，严格遵守学术规范，不存在任何知识产权争议</w:t>
      </w:r>
      <w:r>
        <w:rPr>
          <w:rFonts w:ascii="华文仿宋" w:hAnsi="华文仿宋" w:eastAsia="华文仿宋"/>
          <w:sz w:val="24"/>
          <w:szCs w:val="24"/>
        </w:rPr>
        <w:t xml:space="preserve">  </w:t>
      </w:r>
    </w:p>
    <w:p>
      <w:pPr>
        <w:rPr>
          <w:rFonts w:ascii="华文仿宋" w:hAnsi="华文仿宋" w:eastAsia="华文仿宋"/>
          <w:sz w:val="24"/>
          <w:szCs w:val="24"/>
        </w:rPr>
      </w:pPr>
    </w:p>
    <w:p>
      <w:pPr>
        <w:rPr>
          <w:rFonts w:ascii="华文仿宋" w:hAnsi="华文仿宋" w:eastAsia="华文仿宋"/>
          <w:sz w:val="24"/>
          <w:szCs w:val="24"/>
        </w:rPr>
      </w:pPr>
      <w:r>
        <w:rPr>
          <w:rFonts w:hint="eastAsia" w:ascii="华文仿宋" w:hAnsi="华文仿宋" w:eastAsia="华文仿宋"/>
          <w:sz w:val="24"/>
          <w:szCs w:val="24"/>
        </w:rPr>
        <w:t>三、教学创新设计汇报评分表（占比为</w:t>
      </w:r>
      <w:r>
        <w:rPr>
          <w:rFonts w:ascii="华文仿宋" w:hAnsi="华文仿宋" w:eastAsia="华文仿宋"/>
          <w:sz w:val="24"/>
          <w:szCs w:val="24"/>
        </w:rPr>
        <w:t xml:space="preserve"> 35%</w:t>
      </w:r>
      <w:r>
        <w:rPr>
          <w:rFonts w:hint="eastAsia" w:ascii="华文仿宋" w:hAnsi="华文仿宋" w:eastAsia="华文仿宋"/>
          <w:sz w:val="24"/>
          <w:szCs w:val="24"/>
        </w:rPr>
        <w:t>）</w:t>
      </w:r>
    </w:p>
    <w:tbl>
      <w:tblPr>
        <w:tblStyle w:val="5"/>
        <w:tblW w:w="0" w:type="auto"/>
        <w:jc w:val="center"/>
        <w:tblLayout w:type="fixed"/>
        <w:tblCellMar>
          <w:top w:w="0" w:type="dxa"/>
          <w:left w:w="0" w:type="dxa"/>
          <w:bottom w:w="0" w:type="dxa"/>
          <w:right w:w="0" w:type="dxa"/>
        </w:tblCellMar>
      </w:tblPr>
      <w:tblGrid>
        <w:gridCol w:w="1493"/>
        <w:gridCol w:w="6450"/>
        <w:gridCol w:w="910"/>
      </w:tblGrid>
      <w:tr>
        <w:tblPrEx>
          <w:tblCellMar>
            <w:top w:w="0" w:type="dxa"/>
            <w:left w:w="0" w:type="dxa"/>
            <w:bottom w:w="0" w:type="dxa"/>
            <w:right w:w="0" w:type="dxa"/>
          </w:tblCellMar>
        </w:tblPrEx>
        <w:trPr>
          <w:trHeight w:val="360" w:hRule="atLeast"/>
          <w:jc w:val="center"/>
        </w:trPr>
        <w:tc>
          <w:tcPr>
            <w:tcW w:w="1493" w:type="dxa"/>
            <w:tcBorders>
              <w:top w:val="single" w:color="000000" w:sz="2" w:space="0"/>
              <w:left w:val="single" w:color="000000" w:sz="2" w:space="0"/>
              <w:bottom w:val="single" w:color="000000" w:sz="2" w:space="0"/>
              <w:right w:val="single" w:color="000000" w:sz="2" w:space="0"/>
            </w:tcBorders>
            <w:shd w:val="clear" w:color="000000" w:fill="FFFFFF"/>
          </w:tcPr>
          <w:p>
            <w:pPr>
              <w:jc w:val="center"/>
              <w:rPr>
                <w:rFonts w:ascii="华文仿宋" w:hAnsi="华文仿宋" w:eastAsia="华文仿宋"/>
                <w:sz w:val="24"/>
                <w:szCs w:val="24"/>
              </w:rPr>
            </w:pPr>
            <w:r>
              <w:rPr>
                <w:rFonts w:hint="eastAsia" w:ascii="华文仿宋" w:hAnsi="华文仿宋" w:eastAsia="华文仿宋"/>
                <w:sz w:val="24"/>
                <w:szCs w:val="24"/>
              </w:rPr>
              <w:t>评价维度</w:t>
            </w:r>
          </w:p>
        </w:tc>
        <w:tc>
          <w:tcPr>
            <w:tcW w:w="6450" w:type="dxa"/>
            <w:tcBorders>
              <w:top w:val="single" w:color="000000" w:sz="2" w:space="0"/>
              <w:left w:val="single" w:color="000000" w:sz="2" w:space="0"/>
              <w:bottom w:val="single" w:color="000000" w:sz="2" w:space="0"/>
              <w:right w:val="single" w:color="000000" w:sz="2" w:space="0"/>
            </w:tcBorders>
            <w:shd w:val="clear" w:color="000000" w:fill="FFFFFF"/>
          </w:tcPr>
          <w:p>
            <w:pPr>
              <w:jc w:val="center"/>
              <w:rPr>
                <w:rFonts w:ascii="华文仿宋" w:hAnsi="华文仿宋" w:eastAsia="华文仿宋"/>
                <w:sz w:val="24"/>
                <w:szCs w:val="24"/>
              </w:rPr>
            </w:pPr>
            <w:r>
              <w:rPr>
                <w:rFonts w:hint="eastAsia" w:ascii="华文仿宋" w:hAnsi="华文仿宋" w:eastAsia="华文仿宋"/>
                <w:sz w:val="24"/>
                <w:szCs w:val="24"/>
              </w:rPr>
              <w:t>评价要点</w:t>
            </w:r>
          </w:p>
        </w:tc>
        <w:tc>
          <w:tcPr>
            <w:tcW w:w="910" w:type="dxa"/>
            <w:tcBorders>
              <w:top w:val="single" w:color="000000" w:sz="2" w:space="0"/>
              <w:left w:val="single" w:color="000000" w:sz="2" w:space="0"/>
              <w:bottom w:val="single" w:color="000000" w:sz="2" w:space="0"/>
              <w:right w:val="single" w:color="000000" w:sz="2" w:space="0"/>
            </w:tcBorders>
            <w:shd w:val="clear" w:color="000000" w:fill="FFFFFF"/>
          </w:tcPr>
          <w:p>
            <w:pPr>
              <w:jc w:val="center"/>
              <w:rPr>
                <w:rFonts w:ascii="华文仿宋" w:hAnsi="华文仿宋" w:eastAsia="华文仿宋"/>
                <w:sz w:val="24"/>
                <w:szCs w:val="24"/>
              </w:rPr>
            </w:pPr>
            <w:r>
              <w:rPr>
                <w:rFonts w:hint="eastAsia" w:ascii="华文仿宋" w:hAnsi="华文仿宋" w:eastAsia="华文仿宋"/>
                <w:sz w:val="24"/>
                <w:szCs w:val="24"/>
              </w:rPr>
              <w:t>分值</w:t>
            </w:r>
          </w:p>
        </w:tc>
      </w:tr>
      <w:tr>
        <w:tblPrEx>
          <w:tblCellMar>
            <w:top w:w="0" w:type="dxa"/>
            <w:left w:w="0" w:type="dxa"/>
            <w:bottom w:w="0" w:type="dxa"/>
            <w:right w:w="0" w:type="dxa"/>
          </w:tblCellMar>
        </w:tblPrEx>
        <w:trPr>
          <w:trHeight w:val="680" w:hRule="atLeast"/>
          <w:jc w:val="center"/>
        </w:trPr>
        <w:tc>
          <w:tcPr>
            <w:tcW w:w="149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理念与目标</w:t>
            </w:r>
          </w:p>
        </w:tc>
        <w:tc>
          <w:tcPr>
            <w:tcW w:w="6450"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课程教学贴合</w:t>
            </w:r>
            <w:r>
              <w:rPr>
                <w:rFonts w:ascii="华文仿宋" w:hAnsi="华文仿宋" w:eastAsia="华文仿宋"/>
                <w:sz w:val="24"/>
                <w:szCs w:val="24"/>
              </w:rPr>
              <w:t>“</w:t>
            </w:r>
            <w:r>
              <w:rPr>
                <w:rFonts w:hint="eastAsia" w:ascii="华文仿宋" w:hAnsi="华文仿宋" w:eastAsia="华文仿宋"/>
                <w:sz w:val="24"/>
                <w:szCs w:val="24"/>
              </w:rPr>
              <w:t>以学生发展为中心</w:t>
            </w:r>
            <w:r>
              <w:rPr>
                <w:rFonts w:ascii="华文仿宋" w:hAnsi="华文仿宋" w:eastAsia="华文仿宋"/>
                <w:sz w:val="24"/>
                <w:szCs w:val="24"/>
              </w:rPr>
              <w:t>”</w:t>
            </w:r>
            <w:r>
              <w:rPr>
                <w:rFonts w:hint="eastAsia" w:ascii="华文仿宋" w:hAnsi="华文仿宋" w:eastAsia="华文仿宋"/>
                <w:sz w:val="24"/>
                <w:szCs w:val="24"/>
              </w:rPr>
              <w:t>的理念，强调高阶能力以及情感价值的课程目标。</w:t>
            </w:r>
          </w:p>
        </w:tc>
        <w:tc>
          <w:tcPr>
            <w:tcW w:w="910"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p>
            <w:pPr>
              <w:rPr>
                <w:rFonts w:ascii="华文仿宋" w:hAnsi="华文仿宋" w:eastAsia="华文仿宋"/>
                <w:sz w:val="24"/>
                <w:szCs w:val="24"/>
              </w:rPr>
            </w:pPr>
            <w:r>
              <w:rPr>
                <w:rFonts w:ascii="华文仿宋" w:hAnsi="华文仿宋" w:eastAsia="华文仿宋"/>
                <w:sz w:val="24"/>
                <w:szCs w:val="24"/>
              </w:rPr>
              <w:t xml:space="preserve">25 </w:t>
            </w:r>
            <w:r>
              <w:rPr>
                <w:rFonts w:hint="eastAsia" w:ascii="华文仿宋" w:hAnsi="华文仿宋" w:eastAsia="华文仿宋"/>
                <w:sz w:val="24"/>
                <w:szCs w:val="24"/>
              </w:rPr>
              <w:t>分</w:t>
            </w:r>
          </w:p>
        </w:tc>
      </w:tr>
      <w:tr>
        <w:tblPrEx>
          <w:tblCellMar>
            <w:top w:w="0" w:type="dxa"/>
            <w:left w:w="0" w:type="dxa"/>
            <w:bottom w:w="0" w:type="dxa"/>
            <w:right w:w="0" w:type="dxa"/>
          </w:tblCellMar>
        </w:tblPrEx>
        <w:trPr>
          <w:trHeight w:val="724" w:hRule="atLeast"/>
          <w:jc w:val="center"/>
        </w:trPr>
        <w:tc>
          <w:tcPr>
            <w:tcW w:w="1493" w:type="dxa"/>
            <w:vMerge w:val="restart"/>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教学内容</w:t>
            </w:r>
          </w:p>
        </w:tc>
        <w:tc>
          <w:tcPr>
            <w:tcW w:w="6450"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课程内容有深度、广度，反映学科前沿，渗透专业思想，使用质</w:t>
            </w:r>
            <w:r>
              <w:rPr>
                <w:rFonts w:ascii="华文仿宋" w:hAnsi="华文仿宋" w:eastAsia="华文仿宋"/>
                <w:sz w:val="24"/>
                <w:szCs w:val="24"/>
              </w:rPr>
              <w:t xml:space="preserve"> </w:t>
            </w:r>
            <w:r>
              <w:rPr>
                <w:rFonts w:hint="eastAsia" w:ascii="华文仿宋" w:hAnsi="华文仿宋" w:eastAsia="华文仿宋"/>
                <w:sz w:val="24"/>
                <w:szCs w:val="24"/>
              </w:rPr>
              <w:t>量高的教学资源。</w:t>
            </w:r>
          </w:p>
        </w:tc>
        <w:tc>
          <w:tcPr>
            <w:tcW w:w="910" w:type="dxa"/>
            <w:vMerge w:val="restart"/>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p>
            <w:pPr>
              <w:rPr>
                <w:rFonts w:ascii="华文仿宋" w:hAnsi="华文仿宋" w:eastAsia="华文仿宋"/>
                <w:sz w:val="24"/>
                <w:szCs w:val="24"/>
              </w:rPr>
            </w:pPr>
          </w:p>
          <w:p>
            <w:pPr>
              <w:rPr>
                <w:rFonts w:ascii="华文仿宋" w:hAnsi="华文仿宋" w:eastAsia="华文仿宋"/>
                <w:sz w:val="24"/>
                <w:szCs w:val="24"/>
              </w:rPr>
            </w:pPr>
          </w:p>
          <w:p>
            <w:pPr>
              <w:rPr>
                <w:rFonts w:ascii="华文仿宋" w:hAnsi="华文仿宋" w:eastAsia="华文仿宋"/>
                <w:sz w:val="24"/>
                <w:szCs w:val="24"/>
              </w:rPr>
            </w:pPr>
            <w:r>
              <w:rPr>
                <w:rFonts w:ascii="华文仿宋" w:hAnsi="华文仿宋" w:eastAsia="华文仿宋"/>
                <w:sz w:val="24"/>
                <w:szCs w:val="24"/>
              </w:rPr>
              <w:t xml:space="preserve">30 </w:t>
            </w:r>
            <w:r>
              <w:rPr>
                <w:rFonts w:hint="eastAsia" w:ascii="华文仿宋" w:hAnsi="华文仿宋" w:eastAsia="华文仿宋"/>
                <w:sz w:val="24"/>
                <w:szCs w:val="24"/>
              </w:rPr>
              <w:t>分</w:t>
            </w:r>
          </w:p>
        </w:tc>
      </w:tr>
      <w:tr>
        <w:tblPrEx>
          <w:tblCellMar>
            <w:top w:w="0" w:type="dxa"/>
            <w:left w:w="0" w:type="dxa"/>
            <w:bottom w:w="0" w:type="dxa"/>
            <w:right w:w="0" w:type="dxa"/>
          </w:tblCellMar>
        </w:tblPrEx>
        <w:trPr>
          <w:trHeight w:val="363" w:hRule="atLeast"/>
          <w:jc w:val="center"/>
        </w:trPr>
        <w:tc>
          <w:tcPr>
            <w:tcW w:w="149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c>
          <w:tcPr>
            <w:tcW w:w="6450"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将思想政治教育与专业教育有机融合。</w:t>
            </w:r>
          </w:p>
        </w:tc>
        <w:tc>
          <w:tcPr>
            <w:tcW w:w="91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r>
      <w:tr>
        <w:tblPrEx>
          <w:tblCellMar>
            <w:top w:w="0" w:type="dxa"/>
            <w:left w:w="0" w:type="dxa"/>
            <w:bottom w:w="0" w:type="dxa"/>
            <w:right w:w="0" w:type="dxa"/>
          </w:tblCellMar>
        </w:tblPrEx>
        <w:trPr>
          <w:trHeight w:val="752" w:hRule="atLeast"/>
          <w:jc w:val="center"/>
        </w:trPr>
        <w:tc>
          <w:tcPr>
            <w:tcW w:w="149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c>
          <w:tcPr>
            <w:tcW w:w="6450"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将学科研究新进展、实践发展新经验、社会需求新变化纳入教学内容。</w:t>
            </w:r>
          </w:p>
        </w:tc>
        <w:tc>
          <w:tcPr>
            <w:tcW w:w="91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r>
      <w:tr>
        <w:tblPrEx>
          <w:tblCellMar>
            <w:top w:w="0" w:type="dxa"/>
            <w:left w:w="0" w:type="dxa"/>
            <w:bottom w:w="0" w:type="dxa"/>
            <w:right w:w="0" w:type="dxa"/>
          </w:tblCellMar>
        </w:tblPrEx>
        <w:trPr>
          <w:trHeight w:val="680" w:hRule="atLeast"/>
          <w:jc w:val="center"/>
        </w:trPr>
        <w:tc>
          <w:tcPr>
            <w:tcW w:w="1493" w:type="dxa"/>
            <w:vMerge w:val="restart"/>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过程与方法</w:t>
            </w:r>
          </w:p>
        </w:tc>
        <w:tc>
          <w:tcPr>
            <w:tcW w:w="6450"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教学活动丰富多样，能体现各等级水平的知识、技能和情感价值目标。</w:t>
            </w:r>
          </w:p>
        </w:tc>
        <w:tc>
          <w:tcPr>
            <w:tcW w:w="910" w:type="dxa"/>
            <w:vMerge w:val="restart"/>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p>
            <w:pPr>
              <w:rPr>
                <w:rFonts w:ascii="华文仿宋" w:hAnsi="华文仿宋" w:eastAsia="华文仿宋"/>
                <w:sz w:val="24"/>
                <w:szCs w:val="24"/>
              </w:rPr>
            </w:pPr>
          </w:p>
          <w:p>
            <w:pPr>
              <w:rPr>
                <w:rFonts w:ascii="华文仿宋" w:hAnsi="华文仿宋" w:eastAsia="华文仿宋"/>
                <w:sz w:val="24"/>
                <w:szCs w:val="24"/>
              </w:rPr>
            </w:pPr>
          </w:p>
          <w:p>
            <w:pPr>
              <w:rPr>
                <w:rFonts w:ascii="华文仿宋" w:hAnsi="华文仿宋" w:eastAsia="华文仿宋"/>
                <w:sz w:val="24"/>
                <w:szCs w:val="24"/>
              </w:rPr>
            </w:pPr>
            <w:r>
              <w:rPr>
                <w:rFonts w:ascii="华文仿宋" w:hAnsi="华文仿宋" w:eastAsia="华文仿宋"/>
                <w:sz w:val="24"/>
                <w:szCs w:val="24"/>
              </w:rPr>
              <w:t xml:space="preserve">25 </w:t>
            </w:r>
            <w:r>
              <w:rPr>
                <w:rFonts w:hint="eastAsia" w:ascii="华文仿宋" w:hAnsi="华文仿宋" w:eastAsia="华文仿宋"/>
                <w:sz w:val="24"/>
                <w:szCs w:val="24"/>
              </w:rPr>
              <w:t>分</w:t>
            </w:r>
          </w:p>
        </w:tc>
      </w:tr>
      <w:tr>
        <w:tblPrEx>
          <w:tblCellMar>
            <w:top w:w="0" w:type="dxa"/>
            <w:left w:w="0" w:type="dxa"/>
            <w:bottom w:w="0" w:type="dxa"/>
            <w:right w:w="0" w:type="dxa"/>
          </w:tblCellMar>
        </w:tblPrEx>
        <w:trPr>
          <w:trHeight w:val="575" w:hRule="atLeast"/>
          <w:jc w:val="center"/>
        </w:trPr>
        <w:tc>
          <w:tcPr>
            <w:tcW w:w="149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c>
          <w:tcPr>
            <w:tcW w:w="6450"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能根据课程特点，用创新的教学策略、方法、技术解决课堂中存在的各种问题和困难。</w:t>
            </w:r>
          </w:p>
        </w:tc>
        <w:tc>
          <w:tcPr>
            <w:tcW w:w="91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r>
      <w:tr>
        <w:tblPrEx>
          <w:tblCellMar>
            <w:top w:w="0" w:type="dxa"/>
            <w:left w:w="0" w:type="dxa"/>
            <w:bottom w:w="0" w:type="dxa"/>
            <w:right w:w="0" w:type="dxa"/>
          </w:tblCellMar>
        </w:tblPrEx>
        <w:trPr>
          <w:trHeight w:val="673" w:hRule="atLeast"/>
          <w:jc w:val="center"/>
        </w:trPr>
        <w:tc>
          <w:tcPr>
            <w:tcW w:w="149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c>
          <w:tcPr>
            <w:tcW w:w="6450"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强化师生和生生互动，教学活动应循序渐进，教师提供必要的支持和指导，帮助学生成为自主学习者。</w:t>
            </w:r>
          </w:p>
        </w:tc>
        <w:tc>
          <w:tcPr>
            <w:tcW w:w="91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r>
      <w:tr>
        <w:tblPrEx>
          <w:tblCellMar>
            <w:top w:w="0" w:type="dxa"/>
            <w:left w:w="0" w:type="dxa"/>
            <w:bottom w:w="0" w:type="dxa"/>
            <w:right w:w="0" w:type="dxa"/>
          </w:tblCellMar>
        </w:tblPrEx>
        <w:trPr>
          <w:trHeight w:val="444" w:hRule="atLeast"/>
          <w:jc w:val="center"/>
        </w:trPr>
        <w:tc>
          <w:tcPr>
            <w:tcW w:w="1493" w:type="dxa"/>
            <w:vMerge w:val="restart"/>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考评与反馈</w:t>
            </w:r>
          </w:p>
        </w:tc>
        <w:tc>
          <w:tcPr>
            <w:tcW w:w="6450"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测试多种多样，能合理评价学生知识、技能的掌握情况。</w:t>
            </w:r>
          </w:p>
        </w:tc>
        <w:tc>
          <w:tcPr>
            <w:tcW w:w="910" w:type="dxa"/>
            <w:vMerge w:val="restart"/>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p>
            <w:pPr>
              <w:rPr>
                <w:rFonts w:ascii="华文仿宋" w:hAnsi="华文仿宋" w:eastAsia="华文仿宋"/>
                <w:sz w:val="24"/>
                <w:szCs w:val="24"/>
              </w:rPr>
            </w:pPr>
          </w:p>
          <w:p>
            <w:pPr>
              <w:rPr>
                <w:rFonts w:ascii="华文仿宋" w:hAnsi="华文仿宋" w:eastAsia="华文仿宋"/>
                <w:sz w:val="24"/>
                <w:szCs w:val="24"/>
              </w:rPr>
            </w:pPr>
          </w:p>
          <w:p>
            <w:pPr>
              <w:rPr>
                <w:rFonts w:ascii="华文仿宋" w:hAnsi="华文仿宋" w:eastAsia="华文仿宋"/>
                <w:sz w:val="24"/>
                <w:szCs w:val="24"/>
              </w:rPr>
            </w:pPr>
            <w:r>
              <w:rPr>
                <w:rFonts w:ascii="华文仿宋" w:hAnsi="华文仿宋" w:eastAsia="华文仿宋"/>
                <w:sz w:val="24"/>
                <w:szCs w:val="24"/>
              </w:rPr>
              <w:t xml:space="preserve">20 </w:t>
            </w:r>
            <w:r>
              <w:rPr>
                <w:rFonts w:hint="eastAsia" w:ascii="华文仿宋" w:hAnsi="华文仿宋" w:eastAsia="华文仿宋"/>
                <w:sz w:val="24"/>
                <w:szCs w:val="24"/>
              </w:rPr>
              <w:t>分</w:t>
            </w:r>
          </w:p>
        </w:tc>
      </w:tr>
      <w:tr>
        <w:tblPrEx>
          <w:tblCellMar>
            <w:top w:w="0" w:type="dxa"/>
            <w:left w:w="0" w:type="dxa"/>
            <w:bottom w:w="0" w:type="dxa"/>
            <w:right w:w="0" w:type="dxa"/>
          </w:tblCellMar>
        </w:tblPrEx>
        <w:trPr>
          <w:trHeight w:val="700" w:hRule="atLeast"/>
          <w:jc w:val="center"/>
        </w:trPr>
        <w:tc>
          <w:tcPr>
            <w:tcW w:w="149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c>
          <w:tcPr>
            <w:tcW w:w="6450"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过程性评价与终结性评价相结合，以促成学生进步为出发点设计多元的评价方式，且给与及时反馈。</w:t>
            </w:r>
          </w:p>
        </w:tc>
        <w:tc>
          <w:tcPr>
            <w:tcW w:w="91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r>
      <w:tr>
        <w:tblPrEx>
          <w:tblCellMar>
            <w:top w:w="0" w:type="dxa"/>
            <w:left w:w="0" w:type="dxa"/>
            <w:bottom w:w="0" w:type="dxa"/>
            <w:right w:w="0" w:type="dxa"/>
          </w:tblCellMar>
        </w:tblPrEx>
        <w:trPr>
          <w:trHeight w:val="659" w:hRule="atLeast"/>
          <w:jc w:val="center"/>
        </w:trPr>
        <w:tc>
          <w:tcPr>
            <w:tcW w:w="149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c>
          <w:tcPr>
            <w:tcW w:w="6450"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提供清晰合理的评价规则和标准，积极创造学生自我评价和同伴互评的机会。</w:t>
            </w:r>
          </w:p>
        </w:tc>
        <w:tc>
          <w:tcPr>
            <w:tcW w:w="91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r>
      <w:tr>
        <w:tblPrEx>
          <w:tblCellMar>
            <w:top w:w="0" w:type="dxa"/>
            <w:left w:w="0" w:type="dxa"/>
            <w:bottom w:w="0" w:type="dxa"/>
            <w:right w:w="0" w:type="dxa"/>
          </w:tblCellMar>
        </w:tblPrEx>
        <w:trPr>
          <w:trHeight w:val="507" w:hRule="atLeast"/>
          <w:jc w:val="center"/>
        </w:trPr>
        <w:tc>
          <w:tcPr>
            <w:tcW w:w="1493"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hint="eastAsia" w:ascii="华文仿宋" w:hAnsi="华文仿宋" w:eastAsia="华文仿宋"/>
                <w:sz w:val="24"/>
                <w:szCs w:val="24"/>
              </w:rPr>
              <w:t>总分</w:t>
            </w:r>
          </w:p>
        </w:tc>
        <w:tc>
          <w:tcPr>
            <w:tcW w:w="6450"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p>
        </w:tc>
        <w:tc>
          <w:tcPr>
            <w:tcW w:w="910" w:type="dxa"/>
            <w:tcBorders>
              <w:top w:val="single" w:color="000000" w:sz="2" w:space="0"/>
              <w:left w:val="single" w:color="000000" w:sz="2" w:space="0"/>
              <w:bottom w:val="single" w:color="000000" w:sz="2" w:space="0"/>
              <w:right w:val="single" w:color="000000" w:sz="2" w:space="0"/>
            </w:tcBorders>
            <w:shd w:val="clear" w:color="000000" w:fill="FFFFFF"/>
          </w:tcPr>
          <w:p>
            <w:pPr>
              <w:rPr>
                <w:rFonts w:ascii="华文仿宋" w:hAnsi="华文仿宋" w:eastAsia="华文仿宋"/>
                <w:sz w:val="24"/>
                <w:szCs w:val="24"/>
              </w:rPr>
            </w:pPr>
            <w:r>
              <w:rPr>
                <w:rFonts w:ascii="华文仿宋" w:hAnsi="华文仿宋" w:eastAsia="华文仿宋"/>
                <w:sz w:val="24"/>
                <w:szCs w:val="24"/>
              </w:rPr>
              <w:t xml:space="preserve">100 </w:t>
            </w:r>
            <w:r>
              <w:rPr>
                <w:rFonts w:hint="eastAsia" w:ascii="华文仿宋" w:hAnsi="华文仿宋" w:eastAsia="华文仿宋"/>
                <w:sz w:val="24"/>
                <w:szCs w:val="24"/>
              </w:rPr>
              <w:t>分</w:t>
            </w:r>
          </w:p>
        </w:tc>
      </w:tr>
    </w:tbl>
    <w:p>
      <w:pPr>
        <w:rPr>
          <w:rFonts w:ascii="华文仿宋" w:hAnsi="华文仿宋" w:eastAsia="华文仿宋"/>
          <w:sz w:val="24"/>
          <w:szCs w:val="24"/>
        </w:rPr>
      </w:pPr>
      <w:bookmarkStart w:id="0" w:name="_GoBack"/>
      <w:bookmarkEnd w:id="0"/>
    </w:p>
    <w:sectPr>
      <w:pgSz w:w="12240" w:h="15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82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07"/>
    <w:rsid w:val="00164F07"/>
    <w:rsid w:val="00213184"/>
    <w:rsid w:val="00242F0F"/>
    <w:rsid w:val="00273D5E"/>
    <w:rsid w:val="002A44CC"/>
    <w:rsid w:val="002E6005"/>
    <w:rsid w:val="00303514"/>
    <w:rsid w:val="00333AB0"/>
    <w:rsid w:val="00393F78"/>
    <w:rsid w:val="003A7261"/>
    <w:rsid w:val="004B2101"/>
    <w:rsid w:val="00921FC2"/>
    <w:rsid w:val="00952A1F"/>
    <w:rsid w:val="0095793D"/>
    <w:rsid w:val="009C28F0"/>
    <w:rsid w:val="009D71AD"/>
    <w:rsid w:val="009E1E33"/>
    <w:rsid w:val="009F3A12"/>
    <w:rsid w:val="00A237E7"/>
    <w:rsid w:val="00A57773"/>
    <w:rsid w:val="00AC2540"/>
    <w:rsid w:val="00B04B26"/>
    <w:rsid w:val="00B957E6"/>
    <w:rsid w:val="00E46DF2"/>
    <w:rsid w:val="00E7407C"/>
    <w:rsid w:val="00F92A05"/>
    <w:rsid w:val="00FC5AF1"/>
    <w:rsid w:val="4A242F2C"/>
    <w:rsid w:val="78887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883</Words>
  <Characters>5034</Characters>
  <Lines>41</Lines>
  <Paragraphs>11</Paragraphs>
  <TotalTime>168</TotalTime>
  <ScaleCrop>false</ScaleCrop>
  <LinksUpToDate>false</LinksUpToDate>
  <CharactersWithSpaces>5906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2020-12-24T09:32:00Z</dcterms:created>
  <dc:creator>admin</dc:creator>
  <cp:lastModifiedBy>Administrator</cp:lastModifiedBy>
  <cp:lastPrinted>2020-12-28T07:12:00Z</cp:lastPrinted>
  <dcterms:modified xsi:type="dcterms:W3CDTF">2021-06-28T08:07:07Z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3D82ECFA5C594C9A88C6E0E2013D1440</vt:lpwstr>
  </property>
</Properties>
</file>