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2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国家</w:t>
      </w:r>
      <w:r>
        <w:rPr>
          <w:rFonts w:ascii="方正小标宋简体" w:hAnsi="方正小标宋_GBK" w:eastAsia="方正小标宋简体" w:cs="Times New Roman"/>
          <w:kern w:val="0"/>
          <w:sz w:val="44"/>
          <w:szCs w:val="44"/>
        </w:rPr>
        <w:t>级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</w:rPr>
        <w:t>（2019年）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授课教师（课程负责人）：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</w:pPr>
      <w:r>
        <w:rPr>
          <w:rFonts w:hint="eastAsia" w:ascii="黑体" w:hAnsi="黑体" w:eastAsia="黑体" w:cs="Times New Roman"/>
          <w:sz w:val="32"/>
          <w:szCs w:val="36"/>
        </w:rPr>
        <w:t xml:space="preserve">申报类型： </w:t>
      </w:r>
      <w:r>
        <w:rPr>
          <w:rFonts w:ascii="黑体" w:hAnsi="黑体" w:eastAsia="黑体" w:cs="Times New Roman"/>
          <w:sz w:val="32"/>
          <w:szCs w:val="36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线下一流课程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600" w:lineRule="exact"/>
        <w:ind w:right="28"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线上线下混合式一流课程</w:t>
      </w:r>
    </w:p>
    <w:p>
      <w:pPr>
        <w:spacing w:line="600" w:lineRule="exact"/>
        <w:ind w:right="28" w:firstLine="3200" w:firstLineChars="10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社会实践一流课程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申报学校：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ascii="黑体" w:hAnsi="黑体" w:eastAsia="黑体" w:cs="Times New Roman"/>
          <w:sz w:val="32"/>
          <w:szCs w:val="36"/>
        </w:rPr>
        <w:t>推荐单位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中华人民共和国</w:t>
      </w:r>
      <w:r>
        <w:rPr>
          <w:rFonts w:ascii="黑体" w:hAnsi="黑体" w:eastAsia="黑体"/>
          <w:sz w:val="32"/>
          <w:szCs w:val="32"/>
        </w:rPr>
        <w:t>教育部制</w:t>
      </w:r>
    </w:p>
    <w:p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二○一</w:t>
      </w:r>
      <w:r>
        <w:rPr>
          <w:rFonts w:hint="eastAsia" w:ascii="黑体" w:hAnsi="黑体" w:eastAsia="黑体"/>
          <w:sz w:val="32"/>
          <w:szCs w:val="32"/>
        </w:rPr>
        <w:t>九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十一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每门课程根据已开设两学期的实际情况，只能从“线下一流课程”“线上线下混合式一流课程”“社会实践一流课程”中选择一类进行申报。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专业类代码指《普通高等学校本科专业目录（2012）》中的代码。没有对应学科专业的课程，填写“0000”。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申报书与附件材料一并按每门课程单独装订成册，一式两份。</w:t>
      </w:r>
    </w:p>
    <w:p>
      <w:pPr>
        <w:pStyle w:val="5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（一）线下一流课程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（二）线上线下混合式一流课程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（三）社会实践一流课程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 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1为课程负责人，课程负责人及团队其他主要成员总人数限5人之内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课程目标（</w:t>
      </w:r>
      <w:r>
        <w:rPr>
          <w:rFonts w:ascii="Times New Roman" w:hAnsi="Times New Roman" w:eastAsia="黑体" w:cs="Times New Roman"/>
          <w:sz w:val="24"/>
          <w:szCs w:val="24"/>
        </w:rPr>
        <w:t>300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课程建设及应用情况（</w:t>
      </w:r>
      <w:r>
        <w:rPr>
          <w:rFonts w:hint="eastAsia" w:ascii="Times New Roman" w:hAnsi="Times New Roman" w:eastAsia="黑体" w:cs="Times New Roman"/>
          <w:sz w:val="24"/>
          <w:szCs w:val="24"/>
        </w:rPr>
        <w:t>1500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课程负责人的10分钟“说课”视频（必须提供）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分钟。]</w:t>
            </w:r>
          </w:p>
          <w:p>
            <w:pPr>
              <w:pStyle w:val="5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5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最近一学期的教学日历（必须提供）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最近一学期的测验、考试（考核）及答案（成果等）（必须提供）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最近两学期的学生成绩分布统计（必须提供）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最近两学期的学生在线学习数据（仅混合式课程必须提供）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教学（课堂或实践）实录视频（选择性提供）</w:t>
            </w:r>
          </w:p>
          <w:p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。）</w:t>
            </w:r>
          </w:p>
          <w:p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5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课程负责人诚信承诺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学校教指委或学术委员会课程评价意见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340" w:lineRule="atLeast"/>
              <w:ind w:right="3150" w:rightChars="1500"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负责人（签字）：</w:t>
            </w:r>
          </w:p>
          <w:p>
            <w:pPr>
              <w:pStyle w:val="5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  <w:p>
            <w:pPr>
              <w:pStyle w:val="5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学校政治审查意见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5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5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pStyle w:val="5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5"/>
              <w:wordWrap w:val="0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学校党委（盖章）</w:t>
            </w:r>
          </w:p>
          <w:p>
            <w:pPr>
              <w:pStyle w:val="5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申报学校承诺意见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2" w:type="dxa"/>
          </w:tcPr>
          <w:p>
            <w:pPr>
              <w:spacing w:before="156" w:beforeLines="50" w:after="156" w:afterLines="50" w:line="34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学校对课程有关信息及课程负责人填报的内容进行了核实，保证真实性。经对该课程评审评价，择优申报推荐。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课程如果被认定为“国家级一流本科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中央部门教育司（局）或省级教育行政部门推荐意见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（单位公章）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5EF6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1</TotalTime>
  <ScaleCrop>false</ScaleCrop>
  <LinksUpToDate>false</LinksUpToDate>
  <CharactersWithSpaces>3187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Administrator</cp:lastModifiedBy>
  <dcterms:modified xsi:type="dcterms:W3CDTF">2019-12-02T00:54:33Z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