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Theme="minorEastAsia" w:hAnsiTheme="minorEastAsia" w:eastAsiaTheme="minorEastAsia" w:cstheme="minorEastAsia"/>
          <w:b/>
          <w:bCs w:val="0"/>
          <w:i w:val="0"/>
          <w:caps w:val="0"/>
          <w:color w:val="333333"/>
          <w:spacing w:val="0"/>
          <w:sz w:val="44"/>
          <w:szCs w:val="44"/>
          <w:bdr w:val="none" w:color="auto" w:sz="0" w:space="0"/>
        </w:rPr>
      </w:pPr>
      <w:r>
        <w:rPr>
          <w:rFonts w:hint="eastAsia" w:asciiTheme="minorEastAsia" w:hAnsiTheme="minorEastAsia" w:eastAsiaTheme="minorEastAsia" w:cstheme="minorEastAsia"/>
          <w:b/>
          <w:bCs w:val="0"/>
          <w:i w:val="0"/>
          <w:caps w:val="0"/>
          <w:color w:val="333333"/>
          <w:spacing w:val="0"/>
          <w:sz w:val="44"/>
          <w:szCs w:val="44"/>
          <w:bdr w:val="none" w:color="auto" w:sz="0" w:space="0"/>
        </w:rPr>
        <w:t>关于举办第12届“红铜鼓”中国—东盟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微软雅黑" w:hAnsi="微软雅黑" w:eastAsia="微软雅黑" w:cs="微软雅黑"/>
          <w:i w:val="0"/>
          <w:caps w:val="0"/>
          <w:color w:val="333333"/>
          <w:spacing w:val="0"/>
          <w:sz w:val="39"/>
          <w:szCs w:val="39"/>
          <w:bdr w:val="none" w:color="auto" w:sz="0" w:space="0"/>
        </w:rPr>
      </w:pPr>
      <w:r>
        <w:rPr>
          <w:rFonts w:hint="eastAsia" w:asciiTheme="minorEastAsia" w:hAnsiTheme="minorEastAsia" w:eastAsiaTheme="minorEastAsia" w:cstheme="minorEastAsia"/>
          <w:b/>
          <w:bCs w:val="0"/>
          <w:i w:val="0"/>
          <w:caps w:val="0"/>
          <w:color w:val="333333"/>
          <w:spacing w:val="0"/>
          <w:sz w:val="44"/>
          <w:szCs w:val="44"/>
          <w:bdr w:val="none" w:color="auto" w:sz="0" w:space="0"/>
        </w:rPr>
        <w:t>艺术教育成果展演活动的预通知</w:t>
      </w:r>
      <w:r>
        <w:rPr>
          <w:rFonts w:hint="eastAsia" w:ascii="微软雅黑" w:hAnsi="微软雅黑" w:eastAsia="微软雅黑" w:cs="微软雅黑"/>
          <w:i w:val="0"/>
          <w:caps w:val="0"/>
          <w:color w:val="333333"/>
          <w:spacing w:val="0"/>
          <w:sz w:val="39"/>
          <w:szCs w:val="39"/>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ascii="微软雅黑" w:hAnsi="微软雅黑" w:eastAsia="微软雅黑" w:cs="微软雅黑"/>
          <w:i w:val="0"/>
          <w:caps w:val="0"/>
          <w:color w:val="333333"/>
          <w:spacing w:val="0"/>
          <w:sz w:val="39"/>
          <w:szCs w:val="39"/>
        </w:rPr>
      </w:pPr>
      <w:r>
        <w:rPr>
          <w:rFonts w:hint="eastAsia" w:ascii="仿宋" w:hAnsi="仿宋" w:eastAsia="仿宋" w:cs="仿宋"/>
          <w:i w:val="0"/>
          <w:caps w:val="0"/>
          <w:color w:val="333333"/>
          <w:spacing w:val="0"/>
          <w:sz w:val="21"/>
          <w:szCs w:val="21"/>
          <w:bdr w:val="none" w:color="auto" w:sz="0" w:space="0"/>
        </w:rPr>
        <w:t>（桂文函〔2018〕158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i w:val="0"/>
          <w:caps w:val="0"/>
          <w:color w:val="333333"/>
          <w:spacing w:val="0"/>
          <w:sz w:val="24"/>
          <w:szCs w:val="24"/>
          <w:bdr w:val="none" w:color="auto" w:sz="0" w:space="0"/>
        </w:rPr>
      </w:pPr>
    </w:p>
    <w:p>
      <w:pPr>
        <w:pStyle w:val="3"/>
        <w:widowControl/>
        <w:spacing w:before="0" w:beforeAutospacing="0" w:after="0" w:afterAutospacing="0" w:line="440" w:lineRule="exact"/>
        <w:ind w:right="0"/>
        <w:jc w:val="left"/>
        <w:rPr>
          <w:rFonts w:hint="eastAsia" w:ascii="仿宋" w:hAnsi="仿宋" w:eastAsia="仿宋" w:cs="仿宋"/>
          <w:sz w:val="28"/>
          <w:szCs w:val="28"/>
          <w:lang w:val="en-US" w:eastAsia="zh-CN" w:bidi="ar-SA"/>
        </w:rPr>
      </w:pPr>
      <w:bookmarkStart w:id="0" w:name="_GoBack"/>
      <w:bookmarkEnd w:id="0"/>
      <w:r>
        <w:rPr>
          <w:rFonts w:hint="eastAsia" w:ascii="仿宋" w:hAnsi="仿宋" w:eastAsia="仿宋" w:cs="仿宋"/>
          <w:sz w:val="28"/>
          <w:szCs w:val="28"/>
          <w:lang w:val="en-US" w:eastAsia="zh-CN" w:bidi="ar-SA"/>
        </w:rPr>
        <w:t>各有关高等院校、各艺术类中等职业学校：</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2018年是中国—东盟教育创新年。中华人民共和国文化和旅游部、广西壮族自治区人民政府拟于2018年9月11日在广西南宁举办第13届中国—东盟文化论坛。作为第13届中国—东盟文化论坛配套活动之一，论坛期间将举办第12届“红铜鼓”中国—东盟艺术教育成果展演活动。现将展演活动有关事项预通知如下:</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一、活动宗旨</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贯彻落实国家共建丝绸之路经济带和21世纪海上丝绸之路的愿景与行动，深入开展多层次、宽领域的教育开放合作，搭建中国与东盟国家艺术院校校际交流平台，展示艺术教育创新成果，提升艺术职业教育水平，推动文化艺术人才培养。</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二、活动内容</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（一）舞台艺术类教育成果展演。</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参与对象：中国和东盟国家高等院校、中等职业学校艺术专业学生。</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作品类型：声乐、器乐、舞蹈、杂技、戏曲以及语言类舞台艺术作品。</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遴选办法：作品以视频光盘格式提交，组委会组织专家以审看录像的方式评选出舞台艺术类优秀作品。</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展演形式：2018年9月9日—13日邀请50个左右舞台艺术类作品在广西南宁举办集中展演活动。</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（二）学生优秀美术作品展。</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参与对象：中国和东盟国家高等院校、中等职业学校艺术专业学生。</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作品类型：素描、水彩画、水粉画、油画、中国画、版画、雕塑、书法、摄影以及创意设计等美术类作品。</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遴选办法：分为初评和复评两个步骤进行评选。初评作品以照片方式提交，待进入复评、接到组委会通知后，再将作品原件邮寄或送达指定地点。组委会组织专家评选出优秀美术作品，再遴选、确定入围展览的优秀作品。</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展示形式：2018年9月9日—30日在广西南宁举办第12届“红铜鼓”中国—东盟学生优秀美术作品展，并印制展览作品集。</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（三）艺术教育优秀论文评选。</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参与对象：中国和东盟国家各级教育行政部门和艺术科研机构工作人员，中国和东盟国家高等院校、中等职业学校艺术专业学生。</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论文主题：围绕第13届中国—东盟文化论坛主题，本次论文征集以艺术教育与文化创意产业的融合发展为主要范围。兼顾艺术教育政策制定、制度设计和机制构建等方面的管理类论文；地域性民族性艺术教育发展、艺术教育理论创新与实践方面的专业类论文；基于教学模式或教学案例的调研报告或科研论文等。</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遴选办法：论文以电子稿件形式提交，组委会组织专家对论文进行评审，并遴选出入选论文集的优秀论文。</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展示形式：出版《“红铜鼓”中国—东盟艺术教育优秀论文集（2018）》。</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（四）艺术教育优质课堂展示活动。</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参与对象：中国和东盟国家高等院校、中等职业学校艺术专业学生。</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展示内容：音乐、舞蹈、戏曲、杂技以及语言类等优质课堂。</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遴选办法：有意参加优质课堂展示的学校（院系）将展示内容以视频光盘格式提交，组委会组织专家以审看录像的方式评选出参加优质课堂展示的学校（院系）。</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举办时间：结合第12届“红铜鼓”舞台艺术类优秀节目集中展演活动，2018年9月12日在广西南宁组织举办2—3节优质课堂展示及观摩活动。</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三、活动组织</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第12届“红铜鼓”中国—东盟艺术教育成果展演组委会由广西壮族自治区文化厅、广西壮族自治区教育厅相关人员组成。组委会下设办公室。办公室设在广西壮族自治区文化厅，具体负责本次活动的组织和协调工作。</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参演、参展作品分为高校组、中职组、东盟组（含东盟国家在华留学生）三个组别。组委会将组织专家分组分类进行评选，确定参演、参展优秀作品名单。</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四、报名要求</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（一）报名材料。</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每个作品须填写一份参展报名表（集体作品指定一名参展代表填写），各学校（单位）组织者须填写参展节目汇总表、领队信息表。所需表格可在广西壮族自治区文化厅官方网站公告栏下载填写，网址：http://www.gxwht.gov.cn。</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2.20人以下的舞台艺术类作品可填报1-3名指导教师；20人以上的舞台艺术类作品可填报1-5名指导教师；美术作品可填报1名指导教师；在校学生撰写的论文，可填报1名指导教师。</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3.在校生需提供学生证复印件1份。其他参展人员需提供能证明本人身份的有效证明材料1份。</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（二）作品报送方式。</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舞台艺术类作品和优质课堂展示的参展节目光盘和报名材料邮寄或直接送达广西南宁市思贤路38号广西壮族自治区文化厅人事处901室（邮编：530023），同时将报名材料电子版发送至邮箱：hongtonggu2018@126.com。舞台艺术类作品要求详见附件4。优质课堂展要求详见附件5。收件截止时间为6月30日（以邮件到达和收件地邮戳为准）。</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联 系 人：袁 境、陈 媚、王格格</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联系电话：0771—5610693、5624930</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美术类作品需先将参展作品10寸规格的高清照片和报名材料邮寄或送达至广西南宁市西乡塘区大学路162-1号广西艺术学院职业技术学院（邮编：530000），同时将报名材料电子版发送至邮箱hongtonggu2018@163.com。待进入复评、接到组委会通知后，再将作品原件邮寄或送达上述地址。美术类作品要求详见附件6。收件截止时间为6月30日 （以邮件到达和收件地邮戳为准）。</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联 系 人：陈 达、陈炜栋</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联系电话：0771-3215133、15878742449</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3.艺术教育论文电子稿件（使用word文档进行编辑）和报名材料发送至邮箱cqh1965@sina.com，论文要求详见附件7。收件截止时间为6月15日 （以邮件到达时间为准）。</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联 系 人：黄文富、曹庆华</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联系电话：0771—5627906、0771—5620387</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（三）其它事项</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本次艺术教育成果展演活动不收取报名费。组委会负责受邀到广西南宁参加集中展演（展示）区（省）外师生落地后的市内交通和伙食补助。区（省）外师生的往返交通费和在广西南宁参演（参展）期间的住宿费等其他费用自理。广西区内参演（参展）单位所需费用自行解决。</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2.集中展演（展示）阶段的具体日程安排另行通知。</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附件：</w:t>
      </w: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"http://www.gxwht.gov.cn/upload/201805/22/201805221628182980.doc" \t "http://www.gxwht.gov.cn/culture/show/_blank"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1.报名表</w:t>
      </w:r>
      <w:r>
        <w:rPr>
          <w:rFonts w:hint="eastAsia" w:ascii="仿宋" w:hAnsi="仿宋" w:eastAsia="仿宋" w:cs="仿宋"/>
          <w:sz w:val="28"/>
          <w:szCs w:val="28"/>
          <w:lang w:val="en-US" w:eastAsia="zh-CN" w:bidi="ar-SA"/>
        </w:rPr>
        <w:fldChar w:fldCharType="end"/>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"http://www.gxwht.gov.cn/upload/201805/22/201805221628182980.doc" \t "http://www.gxwht.gov.cn/culture/show/_blank"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 2.参展作品汇总表</w:t>
      </w:r>
      <w:r>
        <w:rPr>
          <w:rFonts w:hint="eastAsia" w:ascii="仿宋" w:hAnsi="仿宋" w:eastAsia="仿宋" w:cs="仿宋"/>
          <w:sz w:val="28"/>
          <w:szCs w:val="28"/>
          <w:lang w:val="en-US" w:eastAsia="zh-CN" w:bidi="ar-SA"/>
        </w:rPr>
        <w:fldChar w:fldCharType="end"/>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"http://www.gxwht.gov.cn/upload/201805/22/201805221628182980.doc" \t "http://www.gxwht.gov.cn/culture/show/_blank"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 3.领队信息表</w:t>
      </w:r>
      <w:r>
        <w:rPr>
          <w:rFonts w:hint="eastAsia" w:ascii="仿宋" w:hAnsi="仿宋" w:eastAsia="仿宋" w:cs="仿宋"/>
          <w:sz w:val="28"/>
          <w:szCs w:val="28"/>
          <w:lang w:val="en-US" w:eastAsia="zh-CN" w:bidi="ar-SA"/>
        </w:rPr>
        <w:fldChar w:fldCharType="end"/>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"http://www.gxwht.gov.cn/upload/201805/22/201805221628182980.doc" \t "http://www.gxwht.gov.cn/culture/show/_blank"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 4.舞台艺术类作品参演须知</w:t>
      </w:r>
      <w:r>
        <w:rPr>
          <w:rFonts w:hint="eastAsia" w:ascii="仿宋" w:hAnsi="仿宋" w:eastAsia="仿宋" w:cs="仿宋"/>
          <w:sz w:val="28"/>
          <w:szCs w:val="28"/>
          <w:lang w:val="en-US" w:eastAsia="zh-CN" w:bidi="ar-SA"/>
        </w:rPr>
        <w:fldChar w:fldCharType="end"/>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"http://www.gxwht.gov.cn/upload/201805/22/201805221628182980.doc" \t "http://www.gxwht.gov.cn/culture/show/_blank"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 5.优质课堂展示须知</w:t>
      </w:r>
      <w:r>
        <w:rPr>
          <w:rFonts w:hint="eastAsia" w:ascii="仿宋" w:hAnsi="仿宋" w:eastAsia="仿宋" w:cs="仿宋"/>
          <w:sz w:val="28"/>
          <w:szCs w:val="28"/>
          <w:lang w:val="en-US" w:eastAsia="zh-CN" w:bidi="ar-SA"/>
        </w:rPr>
        <w:fldChar w:fldCharType="end"/>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"http://www.gxwht.gov.cn/upload/201805/22/201805221628182980.doc" \t "http://www.gxwht.gov.cn/culture/show/_blank"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 6.优质课堂展示报名表</w:t>
      </w:r>
      <w:r>
        <w:rPr>
          <w:rFonts w:hint="eastAsia" w:ascii="仿宋" w:hAnsi="仿宋" w:eastAsia="仿宋" w:cs="仿宋"/>
          <w:sz w:val="28"/>
          <w:szCs w:val="28"/>
          <w:lang w:val="en-US" w:eastAsia="zh-CN" w:bidi="ar-SA"/>
        </w:rPr>
        <w:fldChar w:fldCharType="end"/>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"http://www.gxwht.gov.cn/upload/201805/22/201805221628182980.doc" \t "http://www.gxwht.gov.cn/culture/show/_blank"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 7.学生美术作品参展须知</w:t>
      </w:r>
      <w:r>
        <w:rPr>
          <w:rFonts w:hint="eastAsia" w:ascii="仿宋" w:hAnsi="仿宋" w:eastAsia="仿宋" w:cs="仿宋"/>
          <w:sz w:val="28"/>
          <w:szCs w:val="28"/>
          <w:lang w:val="en-US" w:eastAsia="zh-CN" w:bidi="ar-SA"/>
        </w:rPr>
        <w:fldChar w:fldCharType="end"/>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"http://www.gxwht.gov.cn/upload/201805/22/201805221628182980.doc" \t "http://www.gxwht.gov.cn/culture/show/_blank"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 8.艺术教育论文征集须知</w:t>
      </w:r>
      <w:r>
        <w:rPr>
          <w:rFonts w:hint="eastAsia" w:ascii="仿宋" w:hAnsi="仿宋" w:eastAsia="仿宋" w:cs="仿宋"/>
          <w:sz w:val="28"/>
          <w:szCs w:val="28"/>
          <w:lang w:val="en-US" w:eastAsia="zh-CN" w:bidi="ar-SA"/>
        </w:rPr>
        <w:fldChar w:fldCharType="end"/>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fldChar w:fldCharType="begin"/>
      </w:r>
      <w:r>
        <w:rPr>
          <w:rFonts w:hint="eastAsia" w:ascii="仿宋" w:hAnsi="仿宋" w:eastAsia="仿宋" w:cs="仿宋"/>
          <w:sz w:val="28"/>
          <w:szCs w:val="28"/>
          <w:lang w:val="en-US" w:eastAsia="zh-CN" w:bidi="ar-SA"/>
        </w:rPr>
        <w:instrText xml:space="preserve"> HYPERLINK "http://www.gxwht.gov.cn/upload/201805/22/201805221628182980.doc" \t "http://www.gxwht.gov.cn/culture/show/_blank" </w:instrText>
      </w:r>
      <w:r>
        <w:rPr>
          <w:rFonts w:hint="eastAsia" w:ascii="仿宋" w:hAnsi="仿宋" w:eastAsia="仿宋" w:cs="仿宋"/>
          <w:sz w:val="28"/>
          <w:szCs w:val="28"/>
          <w:lang w:val="en-US" w:eastAsia="zh-CN" w:bidi="ar-SA"/>
        </w:rPr>
        <w:fldChar w:fldCharType="separate"/>
      </w:r>
      <w:r>
        <w:rPr>
          <w:rFonts w:hint="eastAsia" w:ascii="仿宋" w:hAnsi="仿宋" w:eastAsia="仿宋" w:cs="仿宋"/>
          <w:sz w:val="28"/>
          <w:szCs w:val="28"/>
          <w:lang w:val="en-US" w:eastAsia="zh-CN" w:bidi="ar-SA"/>
        </w:rPr>
        <w:t> 9.“红铜鼓”中国—东盟艺术教育成果展演活动简介</w:t>
      </w:r>
      <w:r>
        <w:rPr>
          <w:rFonts w:hint="eastAsia" w:ascii="仿宋" w:hAnsi="仿宋" w:eastAsia="仿宋" w:cs="仿宋"/>
          <w:sz w:val="28"/>
          <w:szCs w:val="28"/>
          <w:lang w:val="en-US" w:eastAsia="zh-CN" w:bidi="ar-SA"/>
        </w:rPr>
        <w:fldChar w:fldCharType="end"/>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p>
    <w:p>
      <w:pPr>
        <w:pStyle w:val="3"/>
        <w:widowControl/>
        <w:spacing w:before="0" w:beforeAutospacing="0" w:after="0" w:afterAutospacing="0" w:line="440" w:lineRule="exact"/>
        <w:ind w:left="0" w:right="0" w:firstLine="560" w:firstLineChars="200"/>
        <w:jc w:val="righ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“红铜鼓”中国—东盟艺术教育成果展演组委会</w:t>
      </w:r>
    </w:p>
    <w:p>
      <w:pPr>
        <w:pStyle w:val="3"/>
        <w:widowControl/>
        <w:spacing w:before="0" w:beforeAutospacing="0" w:after="0" w:afterAutospacing="0" w:line="440" w:lineRule="exact"/>
        <w:ind w:left="0" w:right="0" w:firstLine="560" w:firstLineChars="200"/>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 xml:space="preserve">              (广西壮族自治区文化厅代章）</w:t>
      </w:r>
    </w:p>
    <w:p>
      <w:pPr>
        <w:pStyle w:val="3"/>
        <w:widowControl/>
        <w:spacing w:before="0" w:beforeAutospacing="0" w:after="0" w:afterAutospacing="0" w:line="440" w:lineRule="exact"/>
        <w:ind w:left="0" w:right="0" w:firstLine="560" w:firstLineChars="200"/>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 xml:space="preserve">              2018年5月11日 </w:t>
      </w:r>
    </w:p>
    <w:p>
      <w:pPr>
        <w:pStyle w:val="3"/>
        <w:widowControl/>
        <w:spacing w:before="0" w:beforeAutospacing="0" w:after="0" w:afterAutospacing="0" w:line="440" w:lineRule="exact"/>
        <w:ind w:left="0" w:right="0" w:firstLine="560" w:firstLineChars="200"/>
        <w:jc w:val="left"/>
        <w:rPr>
          <w:rFonts w:hint="eastAsia" w:ascii="仿宋" w:hAnsi="仿宋" w:eastAsia="仿宋" w:cs="仿宋"/>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A62D4"/>
    <w:rsid w:val="6D535020"/>
    <w:rsid w:val="772A6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2018-06-05T06:49:00Z</dcterms:created>
  <dc:creator>JWC</dc:creator>
  <cp:lastModifiedBy>JWC</cp:lastModifiedBy>
  <dcterms:modified xsi:type="dcterms:W3CDTF">2018-06-05T06:52:26Z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