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22" w:rsidRPr="00CA003A" w:rsidRDefault="00457E22" w:rsidP="00457E22">
      <w:pPr>
        <w:pStyle w:val="a5"/>
        <w:spacing w:before="0" w:after="0" w:line="440" w:lineRule="exact"/>
        <w:rPr>
          <w:rFonts w:ascii="Times New Roman" w:eastAsia="方正小标宋简体" w:hAnsi="Times New Roman" w:hint="eastAsia"/>
          <w:b w:val="0"/>
          <w:szCs w:val="36"/>
        </w:rPr>
      </w:pPr>
      <w:bookmarkStart w:id="0" w:name="_Toc527101351"/>
      <w:r w:rsidRPr="00CA003A">
        <w:rPr>
          <w:rFonts w:ascii="Times New Roman" w:eastAsia="方正小标宋简体" w:hAnsi="Times New Roman" w:hint="eastAsia"/>
          <w:b w:val="0"/>
          <w:szCs w:val="36"/>
        </w:rPr>
        <w:t>学生课外学分管理办法</w:t>
      </w:r>
      <w:bookmarkEnd w:id="0"/>
    </w:p>
    <w:p w:rsidR="00457E22" w:rsidRPr="00CA003A" w:rsidRDefault="00457E22" w:rsidP="00457E22">
      <w:pPr>
        <w:pStyle w:val="a5"/>
        <w:spacing w:before="0" w:after="0" w:line="440" w:lineRule="exact"/>
        <w:rPr>
          <w:rFonts w:ascii="Times New Roman" w:eastAsia="方正小标宋简体" w:hAnsi="Times New Roman" w:hint="eastAsia"/>
          <w:b w:val="0"/>
          <w:szCs w:val="36"/>
        </w:rPr>
      </w:pPr>
    </w:p>
    <w:p w:rsidR="00457E22" w:rsidRPr="00515626" w:rsidRDefault="00457E22" w:rsidP="00457E22">
      <w:pPr>
        <w:adjustRightInd w:val="0"/>
        <w:snapToGrid w:val="0"/>
        <w:spacing w:beforeLines="50" w:afterLines="50" w:line="440" w:lineRule="exact"/>
        <w:jc w:val="center"/>
        <w:rPr>
          <w:rFonts w:ascii="黑体" w:eastAsia="黑体" w:hAnsi="黑体" w:cs="宋体" w:hint="eastAsia"/>
          <w:sz w:val="28"/>
          <w:szCs w:val="28"/>
        </w:rPr>
      </w:pPr>
      <w:r w:rsidRPr="00515626">
        <w:rPr>
          <w:rFonts w:ascii="黑体" w:eastAsia="黑体" w:hAnsi="黑体" w:cs="宋体" w:hint="eastAsia"/>
          <w:sz w:val="28"/>
          <w:szCs w:val="28"/>
        </w:rPr>
        <w:t>第一章  总  则</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515626">
        <w:rPr>
          <w:rFonts w:ascii="黑体" w:eastAsia="黑体" w:hAnsi="黑体" w:cs="宋体" w:hint="eastAsia"/>
          <w:sz w:val="28"/>
          <w:szCs w:val="28"/>
        </w:rPr>
        <w:t>第一条</w:t>
      </w:r>
      <w:r w:rsidRPr="00CA003A">
        <w:rPr>
          <w:rFonts w:ascii="仿宋" w:eastAsia="仿宋" w:hAnsi="仿宋" w:cs="宋体" w:hint="eastAsia"/>
          <w:sz w:val="28"/>
          <w:szCs w:val="28"/>
        </w:rPr>
        <w:t xml:space="preserve">  课外学分是指在课堂教学以外的时间内，旨在鼓励学生参加巩固基础知识、扩大知识领域、开拓视野，培养独立工作能力和创新创业能力，提高综合素质活动而设立的课外学分。</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515626">
        <w:rPr>
          <w:rFonts w:ascii="黑体" w:eastAsia="黑体" w:hAnsi="黑体" w:cs="宋体" w:hint="eastAsia"/>
          <w:sz w:val="28"/>
          <w:szCs w:val="28"/>
        </w:rPr>
        <w:t>第二条</w:t>
      </w:r>
      <w:r w:rsidRPr="00CA003A">
        <w:rPr>
          <w:rFonts w:ascii="仿宋" w:eastAsia="仿宋" w:hAnsi="仿宋" w:cs="宋体" w:hint="eastAsia"/>
          <w:sz w:val="28"/>
          <w:szCs w:val="28"/>
        </w:rPr>
        <w:t xml:space="preserve">  学生可通过参加各类课外活动获得学分，学生在校期间必须取得10个课外学分。</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515626">
        <w:rPr>
          <w:rFonts w:ascii="黑体" w:eastAsia="黑体" w:hAnsi="黑体" w:cs="宋体" w:hint="eastAsia"/>
          <w:sz w:val="28"/>
          <w:szCs w:val="28"/>
        </w:rPr>
        <w:t>第三条</w:t>
      </w:r>
      <w:r w:rsidRPr="00CA003A">
        <w:rPr>
          <w:rFonts w:ascii="仿宋" w:eastAsia="仿宋" w:hAnsi="仿宋" w:cs="宋体" w:hint="eastAsia"/>
          <w:sz w:val="28"/>
          <w:szCs w:val="28"/>
        </w:rPr>
        <w:t xml:space="preserve">  各院、系（部）及学校相关职能部门负责学分的审核、确认、检查等工作，项目组织实施部门在规定时间内将学分认定材料送学生所在院（系），各院（系）按规定组织课外学分的申报、管理工作，建立课外学分档案。</w:t>
      </w:r>
    </w:p>
    <w:p w:rsidR="00457E22" w:rsidRPr="00515626" w:rsidRDefault="00457E22" w:rsidP="00457E22">
      <w:pPr>
        <w:adjustRightInd w:val="0"/>
        <w:snapToGrid w:val="0"/>
        <w:spacing w:beforeLines="50" w:afterLines="50" w:line="440" w:lineRule="exact"/>
        <w:jc w:val="center"/>
        <w:rPr>
          <w:rFonts w:ascii="黑体" w:eastAsia="黑体" w:hAnsi="黑体" w:cs="宋体" w:hint="eastAsia"/>
          <w:sz w:val="28"/>
          <w:szCs w:val="28"/>
        </w:rPr>
      </w:pPr>
      <w:r w:rsidRPr="00515626">
        <w:rPr>
          <w:rFonts w:ascii="黑体" w:eastAsia="黑体" w:hAnsi="黑体" w:cs="宋体" w:hint="eastAsia"/>
          <w:sz w:val="28"/>
          <w:szCs w:val="28"/>
        </w:rPr>
        <w:t>第二章 课外学分的认定范围</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515626">
        <w:rPr>
          <w:rFonts w:ascii="黑体" w:eastAsia="黑体" w:hAnsi="黑体" w:cs="宋体" w:hint="eastAsia"/>
          <w:sz w:val="28"/>
          <w:szCs w:val="28"/>
        </w:rPr>
        <w:t>第四条</w:t>
      </w:r>
      <w:r w:rsidRPr="00CA003A">
        <w:rPr>
          <w:rFonts w:ascii="仿宋" w:eastAsia="仿宋" w:hAnsi="仿宋" w:cs="宋体" w:hint="eastAsia"/>
          <w:sz w:val="28"/>
          <w:szCs w:val="28"/>
        </w:rPr>
        <w:t xml:space="preserve">  学生参加下述活动，经认定可以获得课外学分：</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CA003A">
        <w:rPr>
          <w:rFonts w:ascii="仿宋" w:eastAsia="仿宋" w:hAnsi="仿宋" w:cs="宋体" w:hint="eastAsia"/>
          <w:sz w:val="28"/>
          <w:szCs w:val="28"/>
        </w:rPr>
        <w:t>1.学科竞赛；</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CA003A">
        <w:rPr>
          <w:rFonts w:ascii="仿宋" w:eastAsia="仿宋" w:hAnsi="仿宋" w:cs="宋体" w:hint="eastAsia"/>
          <w:sz w:val="28"/>
          <w:szCs w:val="28"/>
        </w:rPr>
        <w:t>2.科研训练；</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CA003A">
        <w:rPr>
          <w:rFonts w:ascii="仿宋" w:eastAsia="仿宋" w:hAnsi="仿宋" w:cs="宋体" w:hint="eastAsia"/>
          <w:sz w:val="28"/>
          <w:szCs w:val="28"/>
        </w:rPr>
        <w:t>3.论文、专利等学术成果发表；</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CA003A">
        <w:rPr>
          <w:rFonts w:ascii="仿宋" w:eastAsia="仿宋" w:hAnsi="仿宋" w:cs="宋体" w:hint="eastAsia"/>
          <w:sz w:val="28"/>
          <w:szCs w:val="28"/>
        </w:rPr>
        <w:t>4.</w:t>
      </w:r>
      <w:bookmarkStart w:id="1" w:name="OLE_LINK1"/>
      <w:r w:rsidRPr="00CA003A">
        <w:rPr>
          <w:rFonts w:ascii="仿宋" w:eastAsia="仿宋" w:hAnsi="仿宋" w:cs="宋体" w:hint="eastAsia"/>
          <w:sz w:val="28"/>
          <w:szCs w:val="28"/>
        </w:rPr>
        <w:t>各种职业技能证书、考级证书</w:t>
      </w:r>
      <w:bookmarkEnd w:id="1"/>
      <w:r w:rsidRPr="00CA003A">
        <w:rPr>
          <w:rFonts w:ascii="仿宋" w:eastAsia="仿宋" w:hAnsi="仿宋" w:cs="宋体" w:hint="eastAsia"/>
          <w:sz w:val="28"/>
          <w:szCs w:val="28"/>
        </w:rPr>
        <w:t>；</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CA003A">
        <w:rPr>
          <w:rFonts w:ascii="仿宋" w:eastAsia="仿宋" w:hAnsi="仿宋" w:cs="宋体" w:hint="eastAsia"/>
          <w:sz w:val="28"/>
          <w:szCs w:val="28"/>
        </w:rPr>
        <w:t>5.课外学术讲座或学术会议，上限2学分；</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CA003A">
        <w:rPr>
          <w:rFonts w:ascii="仿宋" w:eastAsia="仿宋" w:hAnsi="仿宋" w:cs="宋体" w:hint="eastAsia"/>
          <w:sz w:val="28"/>
          <w:szCs w:val="28"/>
        </w:rPr>
        <w:t>6.创新创业训练及活动；</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CA003A">
        <w:rPr>
          <w:rFonts w:ascii="仿宋" w:eastAsia="仿宋" w:hAnsi="仿宋" w:cs="宋体" w:hint="eastAsia"/>
          <w:sz w:val="28"/>
          <w:szCs w:val="28"/>
        </w:rPr>
        <w:t>7.专业著作阅读和经典影视作品赏析，上限2学分；</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CA003A">
        <w:rPr>
          <w:rFonts w:ascii="仿宋" w:eastAsia="仿宋" w:hAnsi="仿宋" w:cs="宋体" w:hint="eastAsia"/>
          <w:sz w:val="28"/>
          <w:szCs w:val="28"/>
        </w:rPr>
        <w:t>8.其它经学校和各院（系）认定的课外实践活动或项目，上限6学分。</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515626">
        <w:rPr>
          <w:rFonts w:ascii="黑体" w:eastAsia="黑体" w:hAnsi="黑体" w:cs="宋体" w:hint="eastAsia"/>
          <w:sz w:val="28"/>
          <w:szCs w:val="28"/>
        </w:rPr>
        <w:t>第五条</w:t>
      </w:r>
      <w:r w:rsidRPr="00CA003A">
        <w:rPr>
          <w:rFonts w:ascii="仿宋" w:eastAsia="仿宋" w:hAnsi="仿宋" w:cs="宋体" w:hint="eastAsia"/>
          <w:sz w:val="28"/>
          <w:szCs w:val="28"/>
        </w:rPr>
        <w:t xml:space="preserve">  课外学分计分方法详见《课外学分认定标准》。</w:t>
      </w:r>
    </w:p>
    <w:p w:rsidR="00457E22" w:rsidRPr="00515626" w:rsidRDefault="00457E22" w:rsidP="00457E22">
      <w:pPr>
        <w:adjustRightInd w:val="0"/>
        <w:snapToGrid w:val="0"/>
        <w:spacing w:beforeLines="50" w:afterLines="50" w:line="440" w:lineRule="exact"/>
        <w:jc w:val="center"/>
        <w:rPr>
          <w:rFonts w:ascii="黑体" w:eastAsia="黑体" w:hAnsi="黑体" w:cs="宋体" w:hint="eastAsia"/>
          <w:sz w:val="28"/>
          <w:szCs w:val="28"/>
        </w:rPr>
      </w:pPr>
      <w:r w:rsidRPr="00515626">
        <w:rPr>
          <w:rFonts w:ascii="黑体" w:eastAsia="黑体" w:hAnsi="黑体" w:cs="宋体" w:hint="eastAsia"/>
          <w:sz w:val="28"/>
          <w:szCs w:val="28"/>
        </w:rPr>
        <w:t>第三章 课外学分认定程序</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A857EC">
        <w:rPr>
          <w:rFonts w:ascii="黑体" w:eastAsia="黑体" w:hAnsi="黑体" w:cs="宋体" w:hint="eastAsia"/>
          <w:sz w:val="28"/>
          <w:szCs w:val="28"/>
        </w:rPr>
        <w:t>第六条</w:t>
      </w:r>
      <w:r w:rsidRPr="00CA003A">
        <w:rPr>
          <w:rFonts w:ascii="仿宋" w:eastAsia="仿宋" w:hAnsi="仿宋" w:cs="宋体" w:hint="eastAsia"/>
          <w:sz w:val="28"/>
          <w:szCs w:val="28"/>
        </w:rPr>
        <w:t xml:space="preserve">  活动组织部门在活动结束后，应及时将各级各类活动的参加者及获奖学生名单、获奖证书复印件等申请课外学分材料送学生所在院（系）。课外学分经学生申报，导师或辅导员初审，院（系）审核，教务处认定后由院（系）负责将学生的课外学分计入学生各自</w:t>
      </w:r>
      <w:r w:rsidRPr="00CA003A">
        <w:rPr>
          <w:rFonts w:ascii="仿宋" w:eastAsia="仿宋" w:hAnsi="仿宋" w:cs="宋体" w:hint="eastAsia"/>
          <w:sz w:val="28"/>
          <w:szCs w:val="28"/>
        </w:rPr>
        <w:lastRenderedPageBreak/>
        <w:t>的课外学分学籍档案。</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515626">
        <w:rPr>
          <w:rFonts w:ascii="黑体" w:eastAsia="黑体" w:hAnsi="黑体" w:cs="宋体" w:hint="eastAsia"/>
          <w:sz w:val="28"/>
          <w:szCs w:val="28"/>
        </w:rPr>
        <w:t>第七条</w:t>
      </w:r>
      <w:r w:rsidRPr="00CA003A">
        <w:rPr>
          <w:rFonts w:ascii="仿宋" w:eastAsia="仿宋" w:hAnsi="仿宋" w:cs="宋体" w:hint="eastAsia"/>
          <w:sz w:val="28"/>
          <w:szCs w:val="28"/>
        </w:rPr>
        <w:t xml:space="preserve">  学校在每年5月份进行本学年课外学分的审核、公示。在审核、公示期内，学生可以在网上核对本学年的课外学分情况，同时学生之间也可以互相监督检查。对公示内容如有异议，则应在公示期内向辅导员提出复核申请，各班辅导员初审汇总后统一向学校项目组织管理部门和所在院（系）提出复核申请，并提供相应证明材料。</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515626">
        <w:rPr>
          <w:rFonts w:ascii="黑体" w:eastAsia="黑体" w:hAnsi="黑体" w:cs="宋体" w:hint="eastAsia"/>
          <w:sz w:val="28"/>
          <w:szCs w:val="28"/>
        </w:rPr>
        <w:t>第八条</w:t>
      </w:r>
      <w:r w:rsidRPr="00CA003A">
        <w:rPr>
          <w:rFonts w:ascii="仿宋" w:eastAsia="仿宋" w:hAnsi="仿宋" w:cs="宋体" w:hint="eastAsia"/>
          <w:sz w:val="28"/>
          <w:szCs w:val="28"/>
        </w:rPr>
        <w:t xml:space="preserve">  课外学分实行学校、院系两级管理，院（系）负责每学年学生课外学分的审核及录入学籍档案工作，学校负责学分认定和学生毕业前的资格审核工作。</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A857EC">
        <w:rPr>
          <w:rFonts w:ascii="黑体" w:eastAsia="黑体" w:hAnsi="黑体" w:cs="宋体" w:hint="eastAsia"/>
          <w:sz w:val="28"/>
          <w:szCs w:val="28"/>
        </w:rPr>
        <w:t>第九条</w:t>
      </w:r>
      <w:r w:rsidRPr="00CA003A">
        <w:rPr>
          <w:rFonts w:ascii="仿宋" w:eastAsia="仿宋" w:hAnsi="仿宋" w:cs="宋体" w:hint="eastAsia"/>
          <w:sz w:val="28"/>
          <w:szCs w:val="28"/>
        </w:rPr>
        <w:t xml:space="preserve">  每学年课外学分的认定审核结果均应在网上公布，学校对课外实践学分认定审核情况进行检查，凡发现弄虚作假者，取消该学分并给予相关责任人相应的处分。</w:t>
      </w:r>
    </w:p>
    <w:p w:rsidR="00457E22" w:rsidRPr="00515626" w:rsidRDefault="00457E22" w:rsidP="00457E22">
      <w:pPr>
        <w:adjustRightInd w:val="0"/>
        <w:snapToGrid w:val="0"/>
        <w:spacing w:beforeLines="50" w:afterLines="50" w:line="440" w:lineRule="exact"/>
        <w:jc w:val="center"/>
        <w:rPr>
          <w:rFonts w:ascii="黑体" w:eastAsia="黑体" w:hAnsi="黑体" w:cs="宋体" w:hint="eastAsia"/>
          <w:sz w:val="28"/>
          <w:szCs w:val="28"/>
        </w:rPr>
      </w:pPr>
      <w:r w:rsidRPr="00515626">
        <w:rPr>
          <w:rFonts w:ascii="黑体" w:eastAsia="黑体" w:hAnsi="黑体" w:cs="宋体" w:hint="eastAsia"/>
          <w:sz w:val="28"/>
          <w:szCs w:val="28"/>
        </w:rPr>
        <w:t>第四章  附  则</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r w:rsidRPr="00515626">
        <w:rPr>
          <w:rFonts w:ascii="黑体" w:eastAsia="黑体" w:hAnsi="黑体" w:cs="宋体" w:hint="eastAsia"/>
          <w:sz w:val="28"/>
          <w:szCs w:val="28"/>
        </w:rPr>
        <w:t>第十条</w:t>
      </w:r>
      <w:r w:rsidRPr="00CA003A">
        <w:rPr>
          <w:rFonts w:ascii="仿宋" w:eastAsia="仿宋" w:hAnsi="仿宋" w:cs="宋体" w:hint="eastAsia"/>
          <w:sz w:val="28"/>
          <w:szCs w:val="28"/>
        </w:rPr>
        <w:t xml:space="preserve">  本办法自发文之日起执行，由教务处负责解释。</w:t>
      </w:r>
    </w:p>
    <w:p w:rsidR="00457E22" w:rsidRPr="00CA003A" w:rsidRDefault="00457E22" w:rsidP="00457E22">
      <w:pPr>
        <w:adjustRightInd w:val="0"/>
        <w:snapToGrid w:val="0"/>
        <w:spacing w:line="440" w:lineRule="exact"/>
        <w:ind w:firstLineChars="200" w:firstLine="560"/>
        <w:rPr>
          <w:rFonts w:ascii="仿宋" w:eastAsia="仿宋" w:hAnsi="仿宋" w:cs="宋体" w:hint="eastAsia"/>
          <w:sz w:val="28"/>
          <w:szCs w:val="28"/>
        </w:rPr>
      </w:pPr>
    </w:p>
    <w:p w:rsidR="00457E22" w:rsidRPr="006664A5" w:rsidRDefault="00457E22" w:rsidP="00457E22">
      <w:pPr>
        <w:spacing w:line="380" w:lineRule="exact"/>
        <w:jc w:val="left"/>
        <w:rPr>
          <w:rFonts w:ascii="宋体" w:hAnsi="宋体" w:cs="宋体" w:hint="eastAsia"/>
          <w:b/>
          <w:kern w:val="0"/>
          <w:sz w:val="28"/>
          <w:szCs w:val="28"/>
        </w:rPr>
      </w:pPr>
      <w:r>
        <w:rPr>
          <w:rFonts w:ascii="宋体" w:hAnsi="宋体" w:cs="宋体"/>
          <w:b/>
          <w:kern w:val="0"/>
          <w:sz w:val="28"/>
          <w:szCs w:val="28"/>
        </w:rPr>
        <w:br w:type="page"/>
      </w:r>
      <w:r w:rsidRPr="006664A5">
        <w:rPr>
          <w:rFonts w:ascii="宋体" w:hAnsi="宋体" w:cs="宋体" w:hint="eastAsia"/>
          <w:b/>
          <w:kern w:val="0"/>
          <w:sz w:val="28"/>
          <w:szCs w:val="28"/>
        </w:rPr>
        <w:lastRenderedPageBreak/>
        <w:t>附件：</w:t>
      </w:r>
    </w:p>
    <w:p w:rsidR="00457E22" w:rsidRPr="00457E22" w:rsidRDefault="00457E22" w:rsidP="00457E22">
      <w:pPr>
        <w:pStyle w:val="a5"/>
        <w:spacing w:before="0" w:after="0" w:line="440" w:lineRule="exact"/>
        <w:rPr>
          <w:rFonts w:ascii="Times New Roman" w:eastAsia="方正小标宋简体" w:hAnsi="Times New Roman" w:hint="eastAsia"/>
          <w:b w:val="0"/>
          <w:szCs w:val="36"/>
        </w:rPr>
      </w:pPr>
    </w:p>
    <w:p w:rsidR="00457E22" w:rsidRPr="00457E22" w:rsidRDefault="00457E22" w:rsidP="00457E22">
      <w:pPr>
        <w:pStyle w:val="a5"/>
        <w:spacing w:before="0" w:after="0" w:line="440" w:lineRule="exact"/>
        <w:rPr>
          <w:rFonts w:ascii="Times New Roman" w:eastAsia="方正小标宋简体" w:hAnsi="Times New Roman" w:hint="eastAsia"/>
          <w:b w:val="0"/>
          <w:szCs w:val="36"/>
        </w:rPr>
      </w:pPr>
      <w:r w:rsidRPr="00457E22">
        <w:rPr>
          <w:rFonts w:ascii="Times New Roman" w:eastAsia="方正小标宋简体" w:hAnsi="Times New Roman" w:hint="eastAsia"/>
          <w:b w:val="0"/>
          <w:szCs w:val="36"/>
        </w:rPr>
        <w:t>课外学分认定标准</w:t>
      </w:r>
    </w:p>
    <w:p w:rsidR="00457E22" w:rsidRPr="00D730D3" w:rsidRDefault="00457E22" w:rsidP="00457E22">
      <w:pPr>
        <w:spacing w:line="380" w:lineRule="exact"/>
        <w:jc w:val="center"/>
        <w:rPr>
          <w:rFonts w:ascii="方正黑体简体" w:eastAsia="方正黑体简体" w:hAnsi="方正黑体简体" w:cs="方正黑体简体" w:hint="eastAsia"/>
          <w:sz w:val="32"/>
          <w:szCs w:val="32"/>
        </w:rPr>
      </w:pPr>
    </w:p>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t>一、学科竞赛</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（一）学科竞赛是指发布的各级组织主办或承办的各类学科竞赛，包括国际、国家级、省（部）级、校级的竞赛项目。</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（二）学生参加不同级别的同一学科竞赛项目获得学分，只计算所获的最高学分，不累加计分。本项上限6学分。</w:t>
      </w:r>
    </w:p>
    <w:p w:rsidR="00457E22" w:rsidRPr="00CA003A" w:rsidRDefault="00457E22" w:rsidP="00457E22">
      <w:pPr>
        <w:adjustRightInd w:val="0"/>
        <w:snapToGrid w:val="0"/>
        <w:spacing w:afterLines="50"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（三）参加学科竞赛学分计算表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761"/>
        <w:gridCol w:w="2663"/>
        <w:gridCol w:w="1026"/>
        <w:gridCol w:w="1622"/>
      </w:tblGrid>
      <w:tr w:rsidR="00457E22" w:rsidTr="00837CB6">
        <w:trPr>
          <w:trHeight w:val="454"/>
          <w:jc w:val="center"/>
        </w:trPr>
        <w:tc>
          <w:tcPr>
            <w:tcW w:w="98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项 目</w:t>
            </w:r>
          </w:p>
        </w:tc>
        <w:tc>
          <w:tcPr>
            <w:tcW w:w="1761"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级   别</w:t>
            </w: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获奖项内容</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学  分</w:t>
            </w:r>
          </w:p>
        </w:tc>
        <w:tc>
          <w:tcPr>
            <w:tcW w:w="1622"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备  注</w:t>
            </w:r>
          </w:p>
        </w:tc>
      </w:tr>
      <w:tr w:rsidR="00457E22" w:rsidTr="00837CB6">
        <w:trPr>
          <w:trHeight w:val="454"/>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学科竞赛</w:t>
            </w:r>
          </w:p>
        </w:tc>
        <w:tc>
          <w:tcPr>
            <w:tcW w:w="1761"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国家级</w:t>
            </w: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特等奖、一等奖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6</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ind w:firstLineChars="200" w:firstLine="360"/>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以获奖证书（文件）为依据；参赛情况由项目组织部门认定。</w:t>
            </w: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二等奖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5</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三等奖、单项奖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4</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鼓励奖或优胜奖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省  级</w:t>
            </w: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特等奖、一等奖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4</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二等奖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3.5</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三等奖、单项奖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3</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鼓励奖或优胜奖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2.5</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参加竞赛并提交作品</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1.5</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校  级</w:t>
            </w: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特等奖、一等奖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3</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二等奖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2.5</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三等奖、单项奖</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1761"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参加竞赛并提交作品</w:t>
            </w:r>
          </w:p>
        </w:tc>
        <w:tc>
          <w:tcPr>
            <w:tcW w:w="1026"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1</w:t>
            </w:r>
          </w:p>
        </w:tc>
        <w:tc>
          <w:tcPr>
            <w:tcW w:w="1622"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bl>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注：以上国家级、省级指政府颁发奖项；国家级、</w:t>
      </w:r>
      <w:proofErr w:type="gramStart"/>
      <w:r w:rsidRPr="00CA003A">
        <w:rPr>
          <w:rFonts w:ascii="仿宋" w:eastAsia="仿宋" w:hAnsi="仿宋" w:cs="宋体" w:hint="eastAsia"/>
          <w:sz w:val="28"/>
          <w:szCs w:val="28"/>
        </w:rPr>
        <w:t>省级行业奖</w:t>
      </w:r>
      <w:proofErr w:type="gramEnd"/>
      <w:r w:rsidRPr="00CA003A">
        <w:rPr>
          <w:rFonts w:ascii="仿宋" w:eastAsia="仿宋" w:hAnsi="仿宋" w:cs="宋体" w:hint="eastAsia"/>
          <w:sz w:val="28"/>
          <w:szCs w:val="28"/>
        </w:rPr>
        <w:t>和协会奖依照此标准分别递减1分。</w:t>
      </w:r>
    </w:p>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t>二、科研训练</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学生科研训练项目包括两个方面：一是参加国家级、省级、校级大学生创新创业训练计划项目、科技创新项目及实验室开放项目等；</w:t>
      </w:r>
      <w:r w:rsidRPr="00CA003A">
        <w:rPr>
          <w:rFonts w:ascii="仿宋" w:eastAsia="仿宋" w:hAnsi="仿宋" w:cs="宋体" w:hint="eastAsia"/>
          <w:sz w:val="28"/>
          <w:szCs w:val="28"/>
        </w:rPr>
        <w:lastRenderedPageBreak/>
        <w:t>二是参与教师的科研项目。本项上限6学分。</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（一）参加国家级、省级、校级大学生创新创业训练计划项目、科技创新项目及实验室开放项目等。</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1.参加此类国家级、省级、校级课题项目，学生可按下表获得相应的学分；同一学年参加多个项目研究，只计取其中一个项目学分最高值，不得累加。</w:t>
      </w:r>
    </w:p>
    <w:p w:rsidR="00457E22" w:rsidRPr="00CA003A" w:rsidRDefault="00457E22" w:rsidP="00457E22">
      <w:pPr>
        <w:adjustRightInd w:val="0"/>
        <w:snapToGrid w:val="0"/>
        <w:spacing w:afterLines="50"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2.学生参加大学生创新创业训练计划项目、科研训练项目及实验室开放项目学分计分表：</w:t>
      </w:r>
    </w:p>
    <w:tbl>
      <w:tblPr>
        <w:tblW w:w="0" w:type="auto"/>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1218"/>
        <w:gridCol w:w="2078"/>
        <w:gridCol w:w="1089"/>
        <w:gridCol w:w="1235"/>
        <w:gridCol w:w="1220"/>
      </w:tblGrid>
      <w:tr w:rsidR="00457E22" w:rsidTr="00837CB6">
        <w:trPr>
          <w:trHeight w:val="454"/>
          <w:jc w:val="center"/>
        </w:trPr>
        <w:tc>
          <w:tcPr>
            <w:tcW w:w="128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级  别</w:t>
            </w: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计分项目</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计分对象</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学分</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计分要求</w:t>
            </w:r>
          </w:p>
        </w:tc>
        <w:tc>
          <w:tcPr>
            <w:tcW w:w="1220"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认定部门</w:t>
            </w:r>
          </w:p>
        </w:tc>
      </w:tr>
      <w:tr w:rsidR="00457E22" w:rsidTr="00837CB6">
        <w:trPr>
          <w:trHeight w:val="454"/>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国家</w:t>
            </w:r>
          </w:p>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级项目</w:t>
            </w: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立  项</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sz w:val="18"/>
                <w:szCs w:val="18"/>
              </w:rPr>
            </w:pPr>
            <w:r>
              <w:rPr>
                <w:rFonts w:ascii="华文仿宋" w:eastAsia="华文仿宋" w:hAnsi="华文仿宋" w:cs="华文仿宋" w:hint="eastAsia"/>
                <w:kern w:val="0"/>
                <w:sz w:val="18"/>
                <w:szCs w:val="18"/>
              </w:rPr>
              <w:t>项目负责人/成员</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3/2</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立项批文</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p>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各系</w:t>
            </w:r>
          </w:p>
          <w:p w:rsidR="00457E22" w:rsidRDefault="00457E22" w:rsidP="00837CB6">
            <w:pPr>
              <w:jc w:val="center"/>
              <w:rPr>
                <w:rFonts w:ascii="华文仿宋" w:eastAsia="华文仿宋" w:hAnsi="华文仿宋" w:cs="华文仿宋"/>
                <w:kern w:val="0"/>
                <w:sz w:val="18"/>
                <w:szCs w:val="18"/>
              </w:rPr>
            </w:pPr>
          </w:p>
          <w:p w:rsidR="00457E22" w:rsidRDefault="00457E22" w:rsidP="00837CB6">
            <w:pPr>
              <w:jc w:val="center"/>
              <w:rPr>
                <w:rFonts w:ascii="华文仿宋" w:eastAsia="华文仿宋" w:hAnsi="华文仿宋" w:cs="华文仿宋"/>
                <w:kern w:val="0"/>
                <w:sz w:val="18"/>
                <w:szCs w:val="18"/>
              </w:rPr>
            </w:pPr>
          </w:p>
          <w:p w:rsidR="00457E22" w:rsidRDefault="00457E22" w:rsidP="00837CB6">
            <w:pPr>
              <w:jc w:val="center"/>
              <w:rPr>
                <w:rFonts w:ascii="华文仿宋" w:eastAsia="华文仿宋" w:hAnsi="华文仿宋" w:cs="华文仿宋"/>
                <w:kern w:val="0"/>
                <w:sz w:val="18"/>
                <w:szCs w:val="18"/>
              </w:rPr>
            </w:pPr>
          </w:p>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各系</w:t>
            </w:r>
          </w:p>
        </w:tc>
      </w:tr>
      <w:tr w:rsidR="00457E22" w:rsidTr="00837CB6">
        <w:trPr>
          <w:trHeight w:val="454"/>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结题答辩</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项目负责人/成员</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3/2</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结题批文</w:t>
            </w:r>
          </w:p>
        </w:tc>
        <w:tc>
          <w:tcPr>
            <w:tcW w:w="1220"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r>
      <w:tr w:rsidR="00457E22" w:rsidTr="00837CB6">
        <w:trPr>
          <w:trHeight w:val="454"/>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省级</w:t>
            </w:r>
          </w:p>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项目</w:t>
            </w: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立项</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项目负责人/成员</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2/1</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立项批文</w:t>
            </w:r>
          </w:p>
        </w:tc>
        <w:tc>
          <w:tcPr>
            <w:tcW w:w="1220"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r>
      <w:tr w:rsidR="00457E22" w:rsidTr="00837CB6">
        <w:trPr>
          <w:trHeight w:val="454"/>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结题答辩</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项目负责人/成员</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2/1</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结题批文</w:t>
            </w:r>
          </w:p>
        </w:tc>
        <w:tc>
          <w:tcPr>
            <w:tcW w:w="1220"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r>
      <w:tr w:rsidR="00457E22" w:rsidTr="00837CB6">
        <w:trPr>
          <w:trHeight w:val="454"/>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proofErr w:type="gramStart"/>
            <w:r>
              <w:rPr>
                <w:rFonts w:ascii="华文仿宋" w:eastAsia="华文仿宋" w:hAnsi="华文仿宋" w:cs="华文仿宋" w:hint="eastAsia"/>
                <w:kern w:val="0"/>
                <w:sz w:val="18"/>
                <w:szCs w:val="18"/>
              </w:rPr>
              <w:t>校重点</w:t>
            </w:r>
            <w:proofErr w:type="gramEnd"/>
            <w:r>
              <w:rPr>
                <w:rFonts w:ascii="华文仿宋" w:eastAsia="华文仿宋" w:hAnsi="华文仿宋" w:cs="华文仿宋" w:hint="eastAsia"/>
                <w:kern w:val="0"/>
                <w:sz w:val="18"/>
                <w:szCs w:val="18"/>
              </w:rPr>
              <w:t>项目</w:t>
            </w: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立项</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项目负责人/成员</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1/0.5</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立项批文</w:t>
            </w:r>
          </w:p>
        </w:tc>
        <w:tc>
          <w:tcPr>
            <w:tcW w:w="1220"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r>
      <w:tr w:rsidR="00457E22" w:rsidTr="00837CB6">
        <w:trPr>
          <w:trHeight w:val="454"/>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结题答辩</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项目负责人/成员</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1/0.5</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结题批文</w:t>
            </w:r>
          </w:p>
        </w:tc>
        <w:tc>
          <w:tcPr>
            <w:tcW w:w="1220"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r>
      <w:tr w:rsidR="00457E22" w:rsidTr="00837CB6">
        <w:trPr>
          <w:trHeight w:val="454"/>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proofErr w:type="gramStart"/>
            <w:r>
              <w:rPr>
                <w:rFonts w:ascii="华文仿宋" w:eastAsia="华文仿宋" w:hAnsi="华文仿宋" w:cs="华文仿宋" w:hint="eastAsia"/>
                <w:kern w:val="0"/>
                <w:sz w:val="18"/>
                <w:szCs w:val="18"/>
              </w:rPr>
              <w:t>校一般</w:t>
            </w:r>
            <w:proofErr w:type="gramEnd"/>
            <w:r>
              <w:rPr>
                <w:rFonts w:ascii="华文仿宋" w:eastAsia="华文仿宋" w:hAnsi="华文仿宋" w:cs="华文仿宋" w:hint="eastAsia"/>
                <w:kern w:val="0"/>
                <w:sz w:val="18"/>
                <w:szCs w:val="18"/>
              </w:rPr>
              <w:t>项目</w:t>
            </w: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立项</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项目负责人/成员</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0.5/0.25</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立项批文</w:t>
            </w:r>
          </w:p>
        </w:tc>
        <w:tc>
          <w:tcPr>
            <w:tcW w:w="1220"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r>
      <w:tr w:rsidR="00457E22" w:rsidTr="00837CB6">
        <w:trPr>
          <w:trHeight w:val="454"/>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c>
          <w:tcPr>
            <w:tcW w:w="121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结题答辩</w:t>
            </w:r>
          </w:p>
        </w:tc>
        <w:tc>
          <w:tcPr>
            <w:tcW w:w="2078"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项目负责人/成员</w:t>
            </w:r>
          </w:p>
        </w:tc>
        <w:tc>
          <w:tcPr>
            <w:tcW w:w="1089"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0.5/0.25</w:t>
            </w:r>
          </w:p>
        </w:tc>
        <w:tc>
          <w:tcPr>
            <w:tcW w:w="1235" w:type="dxa"/>
            <w:tcBorders>
              <w:top w:val="single" w:sz="4" w:space="0" w:color="auto"/>
              <w:left w:val="single" w:sz="4" w:space="0" w:color="auto"/>
              <w:bottom w:val="single" w:sz="4" w:space="0" w:color="auto"/>
              <w:right w:val="single" w:sz="4"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结题批文</w:t>
            </w:r>
          </w:p>
        </w:tc>
        <w:tc>
          <w:tcPr>
            <w:tcW w:w="1220" w:type="dxa"/>
            <w:vMerge/>
            <w:tcBorders>
              <w:top w:val="single" w:sz="4" w:space="0" w:color="auto"/>
              <w:left w:val="single" w:sz="4" w:space="0" w:color="auto"/>
              <w:bottom w:val="single" w:sz="4" w:space="0" w:color="auto"/>
              <w:right w:val="single" w:sz="4" w:space="0" w:color="auto"/>
            </w:tcBorders>
            <w:vAlign w:val="center"/>
          </w:tcPr>
          <w:p w:rsidR="00457E22" w:rsidRDefault="00457E22" w:rsidP="00837CB6">
            <w:pPr>
              <w:widowControl/>
              <w:jc w:val="center"/>
              <w:rPr>
                <w:rFonts w:ascii="华文仿宋" w:eastAsia="华文仿宋" w:hAnsi="华文仿宋" w:cs="华文仿宋"/>
                <w:kern w:val="0"/>
                <w:sz w:val="18"/>
                <w:szCs w:val="18"/>
              </w:rPr>
            </w:pPr>
          </w:p>
        </w:tc>
      </w:tr>
    </w:tbl>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（二）参与教师科研项目</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学生参与教师科研项目包括两种形式，即参与教师项目申报，且项目获准后在合同书中有学生姓名和合同书中没有姓名但利用课余时间参加教师科研一定时间的学生，项目完成后，学生本人申请可以获得相应学分。</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1.学生参与教师申报国家级、省部厅级、校级及横向项目，在项目获准后，合同书中有学生姓名，且实际参与项目研究的学生，经学生提出申请、项目主持人签字认可、科研处审核后分别给予2学分、1学分、0.5学分。</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2.合同书中没有学生名字，但利用课余时间参与国家级、省部级、院（厅）级或横向项目研究，每学期超过16天的，经学生提出申请，项目主持人（负责人）签字认可，分别给予学生1学分、0.5学分、0.25学分。</w:t>
      </w:r>
    </w:p>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lastRenderedPageBreak/>
        <w:t>三、论文、专利等学术成果发表</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（一）学术研究成果内容包括在国际、国内正式刊物或会议论文集上发表的学术论文，各种专利、产品、软件、课件等其它作品。</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二）学术论文发表以录用通知书或正式发表为准；专利获准以收到交证书费的收录通知书或正式的专利证书为准；产品、软件、课件等技术成果转让，以双方签订的技术成果转让合同书和进入学校的转让经费为准；产品、软件、课件等技术成果的开发推广，以学校或个人应收到的分成部分经费为准；产品、软件、课件的技术成果鉴定，以校级以上组织的专家鉴定会形成的科技成果鉴定文件为准。</w:t>
      </w:r>
    </w:p>
    <w:p w:rsidR="00457E22" w:rsidRPr="00CA003A" w:rsidRDefault="00457E22" w:rsidP="00457E22">
      <w:pPr>
        <w:adjustRightInd w:val="0"/>
        <w:snapToGrid w:val="0"/>
        <w:spacing w:afterLines="50"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（三）学生发表论文，申请获得专利、产品、软件、课件等技术成果开发、成果转让所得学分计分办法：</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43"/>
        <w:gridCol w:w="2718"/>
        <w:gridCol w:w="2084"/>
        <w:gridCol w:w="900"/>
        <w:gridCol w:w="1183"/>
      </w:tblGrid>
      <w:tr w:rsidR="00457E22" w:rsidTr="00837CB6">
        <w:trPr>
          <w:trHeight w:val="454"/>
          <w:jc w:val="center"/>
        </w:trPr>
        <w:tc>
          <w:tcPr>
            <w:tcW w:w="1443"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项  目</w:t>
            </w:r>
          </w:p>
        </w:tc>
        <w:tc>
          <w:tcPr>
            <w:tcW w:w="4802" w:type="dxa"/>
            <w:gridSpan w:val="2"/>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获奖名称和等级</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学分</w:t>
            </w:r>
          </w:p>
        </w:tc>
        <w:tc>
          <w:tcPr>
            <w:tcW w:w="1183"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方正黑体简体" w:eastAsia="方正黑体简体" w:hAnsi="方正黑体简体" w:cs="方正黑体简体"/>
                <w:kern w:val="0"/>
                <w:sz w:val="18"/>
                <w:szCs w:val="18"/>
              </w:rPr>
            </w:pPr>
            <w:r>
              <w:rPr>
                <w:rFonts w:ascii="方正黑体简体" w:eastAsia="方正黑体简体" w:hAnsi="方正黑体简体" w:cs="方正黑体简体" w:hint="eastAsia"/>
                <w:kern w:val="0"/>
                <w:sz w:val="18"/>
                <w:szCs w:val="18"/>
              </w:rPr>
              <w:t>备注</w:t>
            </w:r>
          </w:p>
        </w:tc>
      </w:tr>
      <w:tr w:rsidR="00457E22" w:rsidTr="00837CB6">
        <w:trPr>
          <w:trHeight w:val="454"/>
          <w:jc w:val="center"/>
        </w:trPr>
        <w:tc>
          <w:tcPr>
            <w:tcW w:w="1443" w:type="dxa"/>
            <w:vMerge w:val="restart"/>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论  文</w:t>
            </w: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国家级期刊</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第一作者</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4</w:t>
            </w:r>
          </w:p>
        </w:tc>
        <w:tc>
          <w:tcPr>
            <w:tcW w:w="1183" w:type="dxa"/>
            <w:vMerge w:val="restart"/>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每篇论文3000字以上</w:t>
            </w: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省级期刊</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第一作者</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3</w:t>
            </w:r>
          </w:p>
        </w:tc>
        <w:tc>
          <w:tcPr>
            <w:tcW w:w="118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地市级期刊</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第一作者</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w:t>
            </w:r>
          </w:p>
        </w:tc>
        <w:tc>
          <w:tcPr>
            <w:tcW w:w="118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校级</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第一作者</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1</w:t>
            </w:r>
          </w:p>
        </w:tc>
        <w:tc>
          <w:tcPr>
            <w:tcW w:w="118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6884" w:type="dxa"/>
            <w:gridSpan w:val="4"/>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第二作者以下以</w:t>
            </w:r>
            <w:proofErr w:type="gramStart"/>
            <w:r>
              <w:rPr>
                <w:rFonts w:ascii="华文仿宋" w:eastAsia="华文仿宋" w:hAnsi="华文仿宋" w:cs="华文仿宋" w:hint="eastAsia"/>
                <w:kern w:val="0"/>
                <w:sz w:val="18"/>
                <w:szCs w:val="18"/>
              </w:rPr>
              <w:t>各级第一</w:t>
            </w:r>
            <w:proofErr w:type="gramEnd"/>
            <w:r>
              <w:rPr>
                <w:rFonts w:ascii="华文仿宋" w:eastAsia="华文仿宋" w:hAnsi="华文仿宋" w:cs="华文仿宋" w:hint="eastAsia"/>
                <w:kern w:val="0"/>
                <w:sz w:val="18"/>
                <w:szCs w:val="18"/>
              </w:rPr>
              <w:t>作者得分乘以调节系数0.7后记分，保留小数点后一位数字。</w:t>
            </w:r>
          </w:p>
        </w:tc>
      </w:tr>
      <w:tr w:rsidR="00457E22" w:rsidTr="00837CB6">
        <w:trPr>
          <w:trHeight w:val="454"/>
          <w:jc w:val="center"/>
        </w:trPr>
        <w:tc>
          <w:tcPr>
            <w:tcW w:w="1443" w:type="dxa"/>
            <w:vMerge w:val="restart"/>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专  利</w:t>
            </w: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发明专利</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第一专利人</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6</w:t>
            </w:r>
          </w:p>
        </w:tc>
        <w:tc>
          <w:tcPr>
            <w:tcW w:w="1183"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rPr>
            </w:pP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实用新型专利</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第一专利人</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3</w:t>
            </w:r>
          </w:p>
        </w:tc>
        <w:tc>
          <w:tcPr>
            <w:tcW w:w="1183"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rPr>
            </w:pP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外观专利</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第一专利人</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w:t>
            </w:r>
          </w:p>
        </w:tc>
        <w:tc>
          <w:tcPr>
            <w:tcW w:w="1183"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highlight w:val="yellow"/>
              </w:rPr>
            </w:pP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软件著作权</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第一专利人</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w:t>
            </w:r>
          </w:p>
        </w:tc>
        <w:tc>
          <w:tcPr>
            <w:tcW w:w="1183"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highlight w:val="yellow"/>
              </w:rPr>
            </w:pP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6884" w:type="dxa"/>
            <w:gridSpan w:val="4"/>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第二专利人以下以</w:t>
            </w:r>
            <w:proofErr w:type="gramStart"/>
            <w:r>
              <w:rPr>
                <w:rFonts w:ascii="华文仿宋" w:eastAsia="华文仿宋" w:hAnsi="华文仿宋" w:cs="华文仿宋" w:hint="eastAsia"/>
                <w:kern w:val="0"/>
                <w:sz w:val="18"/>
                <w:szCs w:val="18"/>
              </w:rPr>
              <w:t>各级第一</w:t>
            </w:r>
            <w:proofErr w:type="gramEnd"/>
            <w:r>
              <w:rPr>
                <w:rFonts w:ascii="华文仿宋" w:eastAsia="华文仿宋" w:hAnsi="华文仿宋" w:cs="华文仿宋" w:hint="eastAsia"/>
                <w:kern w:val="0"/>
                <w:sz w:val="18"/>
                <w:szCs w:val="18"/>
              </w:rPr>
              <w:t>专利人得分乘以调节系数0.7后记分，保留小数点后一位数字。</w:t>
            </w:r>
          </w:p>
        </w:tc>
      </w:tr>
      <w:tr w:rsidR="00457E22" w:rsidTr="00837CB6">
        <w:trPr>
          <w:trHeight w:val="454"/>
          <w:jc w:val="center"/>
        </w:trPr>
        <w:tc>
          <w:tcPr>
            <w:tcW w:w="1443" w:type="dxa"/>
            <w:vMerge w:val="restart"/>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成果转化</w:t>
            </w: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技术转让</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第一转让人</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w:t>
            </w:r>
          </w:p>
        </w:tc>
        <w:tc>
          <w:tcPr>
            <w:tcW w:w="1183"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 xml:space="preserve">  </w:t>
            </w: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2718"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产品转让</w:t>
            </w:r>
          </w:p>
        </w:tc>
        <w:tc>
          <w:tcPr>
            <w:tcW w:w="2084"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第一开发人</w:t>
            </w:r>
          </w:p>
        </w:tc>
        <w:tc>
          <w:tcPr>
            <w:tcW w:w="900"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jc w:val="cente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2</w:t>
            </w:r>
          </w:p>
        </w:tc>
        <w:tc>
          <w:tcPr>
            <w:tcW w:w="1183" w:type="dxa"/>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 xml:space="preserve">  </w:t>
            </w:r>
          </w:p>
        </w:tc>
      </w:tr>
      <w:tr w:rsidR="00457E22" w:rsidTr="00837CB6">
        <w:trPr>
          <w:trHeight w:val="454"/>
          <w:jc w:val="center"/>
        </w:trPr>
        <w:tc>
          <w:tcPr>
            <w:tcW w:w="1443" w:type="dxa"/>
            <w:vMerge/>
            <w:tcBorders>
              <w:top w:val="single" w:sz="2" w:space="0" w:color="auto"/>
              <w:left w:val="single" w:sz="2" w:space="0" w:color="auto"/>
              <w:bottom w:val="single" w:sz="2" w:space="0" w:color="auto"/>
              <w:right w:val="single" w:sz="2" w:space="0" w:color="auto"/>
            </w:tcBorders>
            <w:vAlign w:val="center"/>
          </w:tcPr>
          <w:p w:rsidR="00457E22" w:rsidRDefault="00457E22" w:rsidP="00837CB6">
            <w:pPr>
              <w:widowControl/>
              <w:jc w:val="left"/>
              <w:rPr>
                <w:rFonts w:ascii="华文仿宋" w:eastAsia="华文仿宋" w:hAnsi="华文仿宋" w:cs="华文仿宋"/>
                <w:kern w:val="0"/>
                <w:sz w:val="18"/>
                <w:szCs w:val="18"/>
              </w:rPr>
            </w:pPr>
          </w:p>
        </w:tc>
        <w:tc>
          <w:tcPr>
            <w:tcW w:w="6884" w:type="dxa"/>
            <w:gridSpan w:val="4"/>
            <w:tcBorders>
              <w:top w:val="single" w:sz="2" w:space="0" w:color="auto"/>
              <w:left w:val="single" w:sz="2" w:space="0" w:color="auto"/>
              <w:bottom w:val="single" w:sz="2" w:space="0" w:color="auto"/>
              <w:right w:val="single" w:sz="2" w:space="0" w:color="auto"/>
            </w:tcBorders>
            <w:vAlign w:val="center"/>
          </w:tcPr>
          <w:p w:rsidR="00457E22" w:rsidRDefault="00457E22" w:rsidP="00837CB6">
            <w:pPr>
              <w:rPr>
                <w:rFonts w:ascii="华文仿宋" w:eastAsia="华文仿宋" w:hAnsi="华文仿宋" w:cs="华文仿宋"/>
                <w:kern w:val="0"/>
                <w:sz w:val="18"/>
                <w:szCs w:val="18"/>
              </w:rPr>
            </w:pPr>
            <w:r>
              <w:rPr>
                <w:rFonts w:ascii="华文仿宋" w:eastAsia="华文仿宋" w:hAnsi="华文仿宋" w:cs="华文仿宋" w:hint="eastAsia"/>
                <w:kern w:val="0"/>
                <w:sz w:val="18"/>
                <w:szCs w:val="18"/>
              </w:rPr>
              <w:t>第二名以下以第一名得分乘以调节系数0.7后记分，保留小数点后一位数字。</w:t>
            </w:r>
          </w:p>
        </w:tc>
      </w:tr>
    </w:tbl>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t>四、各种职业证书、考级证书</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1.获得各种执业注册资格证书，给予4学分。</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2.获得“广播电视编辑记者资格证”的给予2学分，获得“播音员主持人资格证”的给予2学分；获得其它各种职业资格证书者，按</w:t>
      </w:r>
      <w:r w:rsidRPr="00CA003A">
        <w:rPr>
          <w:rFonts w:ascii="仿宋" w:eastAsia="仿宋" w:hAnsi="仿宋" w:cs="宋体" w:hint="eastAsia"/>
          <w:sz w:val="28"/>
          <w:szCs w:val="28"/>
        </w:rPr>
        <w:lastRenderedPageBreak/>
        <w:t>初级（国家职业资格五级）、中级（国家职业资格四级）、高级（国家职业资格三级）、技师（国家职业资格二级）和高级技师（国家职业资格一级）分别给予0.5、1、2、3、4学分。</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3.全国普通话等级考试取得二级甲等、一级乙等、一级甲等成绩分别给予0.5、1、3学分；全国计算机等级考试一级、二级、三级成绩合格以上者给予0.5、1、2学分。</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4.通过考核取得全国大学英语（CET）四级、六级考试成绩达到425分（含）以上给予2、3学分；全国大学英语（CET）四级、六级考试成绩达到565分（含）以上者给予3、4学分。全国英语等级考试（PETS）三级、四级、五级合格者给予0.5、1、2学分。其它语言类全国考试初级、中级、高级成绩合格者给予0.5、1、2学分。</w:t>
      </w:r>
    </w:p>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t>五、课外学术讲座和学术会议</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学生参加课外学术讲座或学术会议，按规定完成相关材料，每次可给予0.2学分。本项学分上限为2学分。</w:t>
      </w:r>
    </w:p>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t>六、实验班项目和创业活动</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入选卓越新闻人才培养计划、</w:t>
      </w:r>
      <w:proofErr w:type="gramStart"/>
      <w:r w:rsidRPr="00CA003A">
        <w:rPr>
          <w:rFonts w:ascii="仿宋" w:eastAsia="仿宋" w:hAnsi="仿宋" w:cs="宋体" w:hint="eastAsia"/>
          <w:sz w:val="28"/>
          <w:szCs w:val="28"/>
        </w:rPr>
        <w:t>菁</w:t>
      </w:r>
      <w:proofErr w:type="gramEnd"/>
      <w:r w:rsidRPr="00CA003A">
        <w:rPr>
          <w:rFonts w:ascii="仿宋" w:eastAsia="仿宋" w:hAnsi="仿宋" w:cs="宋体" w:hint="eastAsia"/>
          <w:sz w:val="28"/>
          <w:szCs w:val="28"/>
        </w:rPr>
        <w:t>体育等实验班项目每学年可给予1学分；获得地方创业基金、风险投资基金或创业项目进入大学生创新创业基地，项目负责人给予2个学分，参与成员给予1个学分。本项上限4学分。</w:t>
      </w:r>
    </w:p>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t>七、专业著作阅读和经典影视作品赏析</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阅读本专业经典著作或赏析经典影视作品，并撰写不少于2000字的阅读感想，每篇给予0.1学分。本项学分上限为2学分。</w:t>
      </w:r>
    </w:p>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t>八、社会实践活动</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学生利用课余时间在各部门勤工俭学经审核每学年可认定0.5学分；参加校内外公益活动和志愿者活动5次以上、校团委立项的暑期实践活动经审核每学年可认定1学分。本项学分上限为3学分。</w:t>
      </w:r>
    </w:p>
    <w:p w:rsidR="00457E22" w:rsidRPr="005E4AF7" w:rsidRDefault="00457E22" w:rsidP="00457E22">
      <w:pPr>
        <w:adjustRightInd w:val="0"/>
        <w:snapToGrid w:val="0"/>
        <w:spacing w:beforeLines="50" w:afterLines="50" w:line="440" w:lineRule="exact"/>
        <w:ind w:firstLineChars="200" w:firstLine="560"/>
        <w:rPr>
          <w:rFonts w:ascii="黑体" w:eastAsia="黑体" w:hAnsi="黑体" w:cs="方正黑体简体"/>
          <w:sz w:val="28"/>
          <w:szCs w:val="28"/>
        </w:rPr>
      </w:pPr>
      <w:r w:rsidRPr="005E4AF7">
        <w:rPr>
          <w:rFonts w:ascii="黑体" w:eastAsia="黑体" w:hAnsi="黑体" w:cs="方正黑体简体" w:hint="eastAsia"/>
          <w:sz w:val="28"/>
          <w:szCs w:val="28"/>
        </w:rPr>
        <w:t>九、附则</w:t>
      </w:r>
    </w:p>
    <w:p w:rsidR="00457E22" w:rsidRPr="00CA003A" w:rsidRDefault="00457E22" w:rsidP="00457E22">
      <w:pPr>
        <w:adjustRightInd w:val="0"/>
        <w:snapToGrid w:val="0"/>
        <w:spacing w:line="440" w:lineRule="exact"/>
        <w:ind w:firstLineChars="200" w:firstLine="560"/>
        <w:rPr>
          <w:rFonts w:ascii="仿宋" w:eastAsia="仿宋" w:hAnsi="仿宋" w:cs="宋体"/>
          <w:sz w:val="28"/>
          <w:szCs w:val="28"/>
        </w:rPr>
      </w:pPr>
      <w:r w:rsidRPr="00CA003A">
        <w:rPr>
          <w:rFonts w:ascii="仿宋" w:eastAsia="仿宋" w:hAnsi="仿宋" w:cs="宋体" w:hint="eastAsia"/>
          <w:sz w:val="28"/>
          <w:szCs w:val="28"/>
        </w:rPr>
        <w:t>本方法在实施过程中如有为涉及的其它需要计算课外学分的活</w:t>
      </w:r>
      <w:r w:rsidRPr="00CA003A">
        <w:rPr>
          <w:rFonts w:ascii="仿宋" w:eastAsia="仿宋" w:hAnsi="仿宋" w:cs="宋体" w:hint="eastAsia"/>
          <w:sz w:val="28"/>
          <w:szCs w:val="28"/>
        </w:rPr>
        <w:lastRenderedPageBreak/>
        <w:t>动项目，由活动组织部门向教务处提出书面报告及具体实施方法，经教务处审核批准后执行。</w:t>
      </w:r>
    </w:p>
    <w:p w:rsidR="00457E22" w:rsidRPr="00CA003A" w:rsidRDefault="00457E22" w:rsidP="00457E22"/>
    <w:p w:rsidR="00BC5576" w:rsidRPr="00457E22" w:rsidRDefault="00BC5576"/>
    <w:sectPr w:rsidR="00BC5576" w:rsidRPr="00457E22" w:rsidSect="00BC55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E8" w:rsidRDefault="00A322E8" w:rsidP="00457E22">
      <w:r>
        <w:separator/>
      </w:r>
    </w:p>
  </w:endnote>
  <w:endnote w:type="continuationSeparator" w:id="0">
    <w:p w:rsidR="00A322E8" w:rsidRDefault="00A322E8" w:rsidP="00457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hakuyoxingshu7000"/>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E8" w:rsidRDefault="00A322E8" w:rsidP="00457E22">
      <w:r>
        <w:separator/>
      </w:r>
    </w:p>
  </w:footnote>
  <w:footnote w:type="continuationSeparator" w:id="0">
    <w:p w:rsidR="00A322E8" w:rsidRDefault="00A322E8" w:rsidP="00457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E22"/>
    <w:rsid w:val="00457E22"/>
    <w:rsid w:val="00A322E8"/>
    <w:rsid w:val="00BC5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E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7E22"/>
    <w:rPr>
      <w:sz w:val="18"/>
      <w:szCs w:val="18"/>
    </w:rPr>
  </w:style>
  <w:style w:type="paragraph" w:styleId="a4">
    <w:name w:val="footer"/>
    <w:basedOn w:val="a"/>
    <w:link w:val="Char0"/>
    <w:uiPriority w:val="99"/>
    <w:semiHidden/>
    <w:unhideWhenUsed/>
    <w:rsid w:val="00457E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7E22"/>
    <w:rPr>
      <w:sz w:val="18"/>
      <w:szCs w:val="18"/>
    </w:rPr>
  </w:style>
  <w:style w:type="paragraph" w:styleId="a5">
    <w:name w:val="Title"/>
    <w:basedOn w:val="a"/>
    <w:link w:val="Char1"/>
    <w:qFormat/>
    <w:rsid w:val="00457E22"/>
    <w:pPr>
      <w:spacing w:before="240" w:after="60"/>
      <w:jc w:val="center"/>
      <w:outlineLvl w:val="0"/>
    </w:pPr>
    <w:rPr>
      <w:rFonts w:ascii="Arial" w:hAnsi="Arial"/>
      <w:b/>
      <w:bCs/>
      <w:sz w:val="36"/>
      <w:szCs w:val="32"/>
    </w:rPr>
  </w:style>
  <w:style w:type="character" w:customStyle="1" w:styleId="Char1">
    <w:name w:val="标题 Char"/>
    <w:basedOn w:val="a0"/>
    <w:link w:val="a5"/>
    <w:rsid w:val="00457E22"/>
    <w:rPr>
      <w:rFonts w:ascii="Arial" w:eastAsia="宋体" w:hAnsi="Arial" w:cs="Times New Roman"/>
      <w:b/>
      <w:bCs/>
      <w:sz w:val="36"/>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546</Words>
  <Characters>3118</Characters>
  <Application>Microsoft Office Word</Application>
  <DocSecurity>0</DocSecurity>
  <Lines>25</Lines>
  <Paragraphs>7</Paragraphs>
  <ScaleCrop>false</ScaleCrop>
  <Company>china</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2021-05-20T08:41:00Z</dcterms:created>
  <dcterms:modified xsi:type="dcterms:W3CDTF">2021-05-20T08:41:00Z</dcterms:modified>
</cp:coreProperties>
</file>